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584" w:rsidRPr="00814CFE" w:rsidRDefault="00396584" w:rsidP="009B0A1F">
      <w:pPr>
        <w:jc w:val="center"/>
        <w:rPr>
          <w:shd w:val="clear" w:color="auto" w:fill="EDF1F5"/>
        </w:rPr>
      </w:pPr>
      <w:bookmarkStart w:id="0" w:name="_GoBack"/>
      <w:bookmarkEnd w:id="0"/>
      <w:r w:rsidRPr="00814CFE">
        <w:t>ФЕДЕРАЛЬНОЕ ГОСУДАРСТВЕННОЕ БЮДЖЕТНОЕ ОБРАЗОВАТЕЛЬНОЕ УЧРЕЖДЕНИЕ</w:t>
      </w:r>
    </w:p>
    <w:p w:rsidR="00396584" w:rsidRPr="00814CFE" w:rsidRDefault="00396584" w:rsidP="009B0A1F">
      <w:pPr>
        <w:jc w:val="center"/>
      </w:pPr>
      <w:r w:rsidRPr="00814CFE">
        <w:t>ВЫСШЕГО ПРОФЕССИОНАЛЬНОГО ОБРАЗОВАНИЯ</w:t>
      </w:r>
    </w:p>
    <w:p w:rsidR="00396584" w:rsidRPr="00814CFE" w:rsidRDefault="00396584" w:rsidP="009B0A1F">
      <w:pPr>
        <w:jc w:val="center"/>
      </w:pPr>
      <w:r>
        <w:t>РОССИЙСКАЯ АКАДЕМИЯ НАРОДНОГО ХОЗЯЙСТВА И ГОСУДАРСТВЕННОЙ СЛУЖБЫ</w:t>
      </w:r>
      <w:r>
        <w:br/>
        <w:t>ПРИ ПРЕЗИДЕНТЕ РОССИЙСКОЙ ФЕДЕРАЦИИ</w:t>
      </w:r>
    </w:p>
    <w:p w:rsidR="00396584" w:rsidRPr="00814CFE" w:rsidRDefault="00396584" w:rsidP="009B0A1F">
      <w:pPr>
        <w:jc w:val="center"/>
        <w:rPr>
          <w:sz w:val="24"/>
          <w:shd w:val="clear" w:color="auto" w:fill="EDF1F5"/>
        </w:rPr>
      </w:pPr>
      <w:r w:rsidRPr="00814CFE">
        <w:t>СИБИРСКИЙ ИНСТИТУТ УПРАВЛЕНИЯ</w:t>
      </w:r>
    </w:p>
    <w:p w:rsidR="00396584" w:rsidRDefault="00396584" w:rsidP="00396584">
      <w:pPr>
        <w:rPr>
          <w:shd w:val="clear" w:color="auto" w:fill="EDF1F5"/>
        </w:rPr>
      </w:pPr>
    </w:p>
    <w:p w:rsidR="00396584" w:rsidRDefault="00396584" w:rsidP="00396584">
      <w:pPr>
        <w:rPr>
          <w:shd w:val="clear" w:color="auto" w:fill="EDF1F5"/>
        </w:rPr>
      </w:pPr>
    </w:p>
    <w:p w:rsidR="00396584" w:rsidRDefault="00396584" w:rsidP="009B0A1F">
      <w:pPr>
        <w:jc w:val="center"/>
      </w:pPr>
      <w:r>
        <w:t>Юридический факультет</w:t>
      </w:r>
    </w:p>
    <w:p w:rsidR="00396584" w:rsidRDefault="00396584" w:rsidP="009B0A1F">
      <w:pPr>
        <w:jc w:val="center"/>
      </w:pPr>
      <w:r>
        <w:t>Кафедра гражданского права и процесса</w:t>
      </w:r>
    </w:p>
    <w:p w:rsidR="00396584" w:rsidRPr="00992DF0" w:rsidRDefault="00396584" w:rsidP="00396584"/>
    <w:p w:rsidR="00396584" w:rsidRPr="0077441D" w:rsidRDefault="00396584" w:rsidP="009B0A1F">
      <w:pPr>
        <w:jc w:val="center"/>
      </w:pPr>
      <w:r>
        <w:t>Курсовая работа</w:t>
      </w:r>
    </w:p>
    <w:p w:rsidR="00396584" w:rsidRPr="00992DF0" w:rsidRDefault="00396584" w:rsidP="009B0A1F">
      <w:pPr>
        <w:jc w:val="center"/>
      </w:pPr>
      <w:r w:rsidRPr="00992DF0">
        <w:t xml:space="preserve">по дисциплине: </w:t>
      </w:r>
      <w:r w:rsidRPr="00992DF0">
        <w:rPr>
          <w:b/>
        </w:rPr>
        <w:t>«</w:t>
      </w:r>
      <w:r>
        <w:rPr>
          <w:b/>
        </w:rPr>
        <w:t>Банковское право</w:t>
      </w:r>
      <w:r w:rsidRPr="00992DF0">
        <w:rPr>
          <w:b/>
        </w:rPr>
        <w:t>»</w:t>
      </w:r>
      <w:r w:rsidRPr="00992DF0">
        <w:br/>
        <w:t>на тему:</w:t>
      </w:r>
      <w:r>
        <w:br/>
      </w:r>
      <w:r w:rsidRPr="00992DF0">
        <w:rPr>
          <w:b/>
        </w:rPr>
        <w:t>«</w:t>
      </w:r>
      <w:hyperlink r:id="rId9" w:history="1">
        <w:r>
          <w:rPr>
            <w:rFonts w:eastAsiaTheme="minorHAnsi"/>
            <w:color w:val="auto"/>
            <w:szCs w:val="24"/>
            <w:lang w:eastAsia="en-US"/>
          </w:rPr>
          <w:t>Ц</w:t>
        </w:r>
        <w:r w:rsidRPr="00BD613D">
          <w:rPr>
            <w:rFonts w:eastAsiaTheme="minorHAnsi"/>
            <w:color w:val="auto"/>
            <w:szCs w:val="24"/>
            <w:lang w:eastAsia="en-US"/>
          </w:rPr>
          <w:t>енные бумаги как объект банковских сделок</w:t>
        </w:r>
      </w:hyperlink>
      <w:r>
        <w:t>»</w:t>
      </w:r>
    </w:p>
    <w:p w:rsidR="00396584" w:rsidRPr="00992DF0" w:rsidRDefault="00396584" w:rsidP="00396584"/>
    <w:p w:rsidR="00396584" w:rsidRDefault="00396584" w:rsidP="00396584"/>
    <w:p w:rsidR="00396584" w:rsidRPr="00030F42" w:rsidRDefault="00396584" w:rsidP="009B0A1F">
      <w:pPr>
        <w:jc w:val="right"/>
      </w:pPr>
      <w:r>
        <w:t>Выполнил</w:t>
      </w:r>
      <w:r w:rsidRPr="00030F42">
        <w:t>:</w:t>
      </w:r>
    </w:p>
    <w:p w:rsidR="00396584" w:rsidRPr="00030F42" w:rsidRDefault="00396584" w:rsidP="009B0A1F">
      <w:pPr>
        <w:jc w:val="right"/>
      </w:pPr>
      <w:r>
        <w:t>Студент группы</w:t>
      </w:r>
      <w:r w:rsidRPr="00030F42">
        <w:t xml:space="preserve"> 1113</w:t>
      </w:r>
      <w:r>
        <w:t>5</w:t>
      </w:r>
    </w:p>
    <w:p w:rsidR="00396584" w:rsidRPr="000A0ECF" w:rsidRDefault="00396584" w:rsidP="009B0A1F">
      <w:pPr>
        <w:jc w:val="right"/>
      </w:pPr>
      <w:r>
        <w:t>Аншиц Г.О.</w:t>
      </w:r>
    </w:p>
    <w:p w:rsidR="00396584" w:rsidRDefault="00396584" w:rsidP="00396584"/>
    <w:p w:rsidR="00396584" w:rsidRPr="00030F42" w:rsidRDefault="00396584" w:rsidP="009B0A1F">
      <w:pPr>
        <w:jc w:val="right"/>
      </w:pPr>
      <w:r>
        <w:t>Проверил</w:t>
      </w:r>
      <w:r w:rsidRPr="00030F42">
        <w:t>:</w:t>
      </w:r>
    </w:p>
    <w:p w:rsidR="00396584" w:rsidRPr="00BD613D" w:rsidRDefault="00396584" w:rsidP="009B0A1F">
      <w:pPr>
        <w:jc w:val="right"/>
      </w:pPr>
      <w:r w:rsidRPr="00BD613D">
        <w:t xml:space="preserve">Старший преподаватель кафедры </w:t>
      </w:r>
    </w:p>
    <w:p w:rsidR="00396584" w:rsidRPr="00BD613D" w:rsidRDefault="002103AF" w:rsidP="009B0A1F">
      <w:pPr>
        <w:jc w:val="right"/>
      </w:pPr>
      <w:r>
        <w:t xml:space="preserve">Лактионова </w:t>
      </w:r>
      <w:r w:rsidR="00396584" w:rsidRPr="00BD613D">
        <w:t>Н.А.</w:t>
      </w:r>
    </w:p>
    <w:p w:rsidR="00396584" w:rsidRDefault="00396584" w:rsidP="00396584"/>
    <w:p w:rsidR="00396584" w:rsidRPr="00992DF0" w:rsidRDefault="00396584" w:rsidP="00396584"/>
    <w:p w:rsidR="00396584" w:rsidRDefault="00396584" w:rsidP="00396584"/>
    <w:p w:rsidR="00396584" w:rsidRPr="00B745DB" w:rsidRDefault="00396584" w:rsidP="009B0A1F">
      <w:pPr>
        <w:jc w:val="center"/>
      </w:pPr>
      <w:r w:rsidRPr="00992DF0">
        <w:t>Новосибирск 201</w:t>
      </w:r>
      <w:r w:rsidRPr="00B745DB">
        <w:t>5</w:t>
      </w:r>
    </w:p>
    <w:p w:rsidR="002103AF" w:rsidRDefault="002103AF">
      <w:pPr>
        <w:pStyle w:val="aa"/>
      </w:pPr>
      <w:bookmarkStart w:id="1" w:name="_Toc418783224"/>
      <w:bookmarkStart w:id="2" w:name="_Toc418797081"/>
      <w:r>
        <w:lastRenderedPageBreak/>
        <w:t>Оглавление</w:t>
      </w:r>
    </w:p>
    <w:p w:rsidR="002103AF" w:rsidRDefault="00F01EEA">
      <w:pPr>
        <w:pStyle w:val="13"/>
        <w:rPr>
          <w:rFonts w:asciiTheme="minorHAnsi" w:eastAsiaTheme="minorEastAsia" w:hAnsiTheme="minorHAnsi" w:cstheme="minorBidi"/>
          <w:noProof/>
          <w:color w:val="auto"/>
          <w:sz w:val="22"/>
          <w:szCs w:val="22"/>
        </w:rPr>
      </w:pPr>
      <w:r>
        <w:fldChar w:fldCharType="begin"/>
      </w:r>
      <w:r w:rsidR="002103AF">
        <w:instrText xml:space="preserve"> TOC \o "1-3" \h \z \u </w:instrText>
      </w:r>
      <w:r>
        <w:fldChar w:fldCharType="separate"/>
      </w:r>
      <w:hyperlink w:anchor="_Toc418797604" w:history="1">
        <w:r w:rsidR="002103AF" w:rsidRPr="00E46972">
          <w:rPr>
            <w:rStyle w:val="a3"/>
            <w:noProof/>
          </w:rPr>
          <w:t>В</w:t>
        </w:r>
        <w:r w:rsidR="002103AF">
          <w:rPr>
            <w:rStyle w:val="a3"/>
            <w:noProof/>
          </w:rPr>
          <w:t>ведение</w:t>
        </w:r>
        <w:r w:rsidR="002103AF">
          <w:rPr>
            <w:noProof/>
            <w:webHidden/>
          </w:rPr>
          <w:tab/>
        </w:r>
        <w:r>
          <w:rPr>
            <w:noProof/>
            <w:webHidden/>
          </w:rPr>
          <w:fldChar w:fldCharType="begin"/>
        </w:r>
        <w:r w:rsidR="002103AF">
          <w:rPr>
            <w:noProof/>
            <w:webHidden/>
          </w:rPr>
          <w:instrText xml:space="preserve"> PAGEREF _Toc418797604 \h </w:instrText>
        </w:r>
        <w:r>
          <w:rPr>
            <w:noProof/>
            <w:webHidden/>
          </w:rPr>
        </w:r>
        <w:r>
          <w:rPr>
            <w:noProof/>
            <w:webHidden/>
          </w:rPr>
          <w:fldChar w:fldCharType="separate"/>
        </w:r>
        <w:r w:rsidR="002103AF">
          <w:rPr>
            <w:noProof/>
            <w:webHidden/>
          </w:rPr>
          <w:t>2</w:t>
        </w:r>
        <w:r>
          <w:rPr>
            <w:noProof/>
            <w:webHidden/>
          </w:rPr>
          <w:fldChar w:fldCharType="end"/>
        </w:r>
      </w:hyperlink>
    </w:p>
    <w:p w:rsidR="002103AF" w:rsidRDefault="00C443D9">
      <w:pPr>
        <w:pStyle w:val="13"/>
        <w:rPr>
          <w:rFonts w:asciiTheme="minorHAnsi" w:eastAsiaTheme="minorEastAsia" w:hAnsiTheme="minorHAnsi" w:cstheme="minorBidi"/>
          <w:noProof/>
          <w:color w:val="auto"/>
          <w:sz w:val="22"/>
          <w:szCs w:val="22"/>
        </w:rPr>
      </w:pPr>
      <w:hyperlink w:anchor="_Toc418797605" w:history="1">
        <w:r w:rsidR="002103AF" w:rsidRPr="00E46972">
          <w:rPr>
            <w:rStyle w:val="a3"/>
            <w:noProof/>
          </w:rPr>
          <w:t>Глава 1. Виды ценных бумаг и финансовых инструментов, применяемые в практике коммерческих банков</w:t>
        </w:r>
        <w:r w:rsidR="002103AF">
          <w:rPr>
            <w:noProof/>
            <w:webHidden/>
          </w:rPr>
          <w:tab/>
        </w:r>
        <w:r w:rsidR="00F01EEA">
          <w:rPr>
            <w:noProof/>
            <w:webHidden/>
          </w:rPr>
          <w:fldChar w:fldCharType="begin"/>
        </w:r>
        <w:r w:rsidR="002103AF">
          <w:rPr>
            <w:noProof/>
            <w:webHidden/>
          </w:rPr>
          <w:instrText xml:space="preserve"> PAGEREF _Toc418797605 \h </w:instrText>
        </w:r>
        <w:r w:rsidR="00F01EEA">
          <w:rPr>
            <w:noProof/>
            <w:webHidden/>
          </w:rPr>
        </w:r>
        <w:r w:rsidR="00F01EEA">
          <w:rPr>
            <w:noProof/>
            <w:webHidden/>
          </w:rPr>
          <w:fldChar w:fldCharType="separate"/>
        </w:r>
        <w:r w:rsidR="002103AF">
          <w:rPr>
            <w:noProof/>
            <w:webHidden/>
          </w:rPr>
          <w:t>3</w:t>
        </w:r>
        <w:r w:rsidR="00F01EEA">
          <w:rPr>
            <w:noProof/>
            <w:webHidden/>
          </w:rPr>
          <w:fldChar w:fldCharType="end"/>
        </w:r>
      </w:hyperlink>
    </w:p>
    <w:p w:rsidR="002103AF" w:rsidRDefault="00C443D9" w:rsidP="002103AF">
      <w:pPr>
        <w:pStyle w:val="25"/>
        <w:rPr>
          <w:rFonts w:asciiTheme="minorHAnsi" w:eastAsiaTheme="minorEastAsia" w:hAnsiTheme="minorHAnsi" w:cstheme="minorBidi"/>
          <w:noProof/>
          <w:color w:val="auto"/>
          <w:sz w:val="22"/>
          <w:szCs w:val="22"/>
        </w:rPr>
      </w:pPr>
      <w:hyperlink w:anchor="_Toc418797606" w:history="1">
        <w:r w:rsidR="002103AF" w:rsidRPr="00E46972">
          <w:rPr>
            <w:rStyle w:val="a3"/>
            <w:noProof/>
          </w:rPr>
          <w:t>1.1Основные виды ценных бумаг и финансовых инструментов</w:t>
        </w:r>
        <w:r w:rsidR="002103AF">
          <w:rPr>
            <w:noProof/>
            <w:webHidden/>
          </w:rPr>
          <w:tab/>
        </w:r>
        <w:r w:rsidR="00F01EEA">
          <w:rPr>
            <w:noProof/>
            <w:webHidden/>
          </w:rPr>
          <w:fldChar w:fldCharType="begin"/>
        </w:r>
        <w:r w:rsidR="002103AF">
          <w:rPr>
            <w:noProof/>
            <w:webHidden/>
          </w:rPr>
          <w:instrText xml:space="preserve"> PAGEREF _Toc418797606 \h </w:instrText>
        </w:r>
        <w:r w:rsidR="00F01EEA">
          <w:rPr>
            <w:noProof/>
            <w:webHidden/>
          </w:rPr>
        </w:r>
        <w:r w:rsidR="00F01EEA">
          <w:rPr>
            <w:noProof/>
            <w:webHidden/>
          </w:rPr>
          <w:fldChar w:fldCharType="separate"/>
        </w:r>
        <w:r w:rsidR="002103AF">
          <w:rPr>
            <w:noProof/>
            <w:webHidden/>
          </w:rPr>
          <w:t>3</w:t>
        </w:r>
        <w:r w:rsidR="00F01EEA">
          <w:rPr>
            <w:noProof/>
            <w:webHidden/>
          </w:rPr>
          <w:fldChar w:fldCharType="end"/>
        </w:r>
      </w:hyperlink>
    </w:p>
    <w:p w:rsidR="002103AF" w:rsidRDefault="00C443D9" w:rsidP="002103AF">
      <w:pPr>
        <w:pStyle w:val="13"/>
        <w:ind w:left="567"/>
        <w:rPr>
          <w:rFonts w:asciiTheme="minorHAnsi" w:eastAsiaTheme="minorEastAsia" w:hAnsiTheme="minorHAnsi" w:cstheme="minorBidi"/>
          <w:noProof/>
          <w:color w:val="auto"/>
          <w:sz w:val="22"/>
          <w:szCs w:val="22"/>
        </w:rPr>
      </w:pPr>
      <w:hyperlink w:anchor="_Toc418797607" w:history="1">
        <w:r w:rsidR="002103AF" w:rsidRPr="00E46972">
          <w:rPr>
            <w:rStyle w:val="a3"/>
            <w:noProof/>
          </w:rPr>
          <w:t>1.2 Коммерческие банки как профессиональные участники рынка ценных бумаг</w:t>
        </w:r>
        <w:r w:rsidR="002103AF">
          <w:rPr>
            <w:noProof/>
            <w:webHidden/>
          </w:rPr>
          <w:tab/>
        </w:r>
        <w:r w:rsidR="00F01EEA">
          <w:rPr>
            <w:noProof/>
            <w:webHidden/>
          </w:rPr>
          <w:fldChar w:fldCharType="begin"/>
        </w:r>
        <w:r w:rsidR="002103AF">
          <w:rPr>
            <w:noProof/>
            <w:webHidden/>
          </w:rPr>
          <w:instrText xml:space="preserve"> PAGEREF _Toc418797607 \h </w:instrText>
        </w:r>
        <w:r w:rsidR="00F01EEA">
          <w:rPr>
            <w:noProof/>
            <w:webHidden/>
          </w:rPr>
        </w:r>
        <w:r w:rsidR="00F01EEA">
          <w:rPr>
            <w:noProof/>
            <w:webHidden/>
          </w:rPr>
          <w:fldChar w:fldCharType="separate"/>
        </w:r>
        <w:r w:rsidR="002103AF">
          <w:rPr>
            <w:noProof/>
            <w:webHidden/>
          </w:rPr>
          <w:t>8</w:t>
        </w:r>
        <w:r w:rsidR="00F01EEA">
          <w:rPr>
            <w:noProof/>
            <w:webHidden/>
          </w:rPr>
          <w:fldChar w:fldCharType="end"/>
        </w:r>
      </w:hyperlink>
    </w:p>
    <w:p w:rsidR="002103AF" w:rsidRDefault="00C443D9">
      <w:pPr>
        <w:pStyle w:val="13"/>
        <w:rPr>
          <w:rFonts w:asciiTheme="minorHAnsi" w:eastAsiaTheme="minorEastAsia" w:hAnsiTheme="minorHAnsi" w:cstheme="minorBidi"/>
          <w:noProof/>
          <w:color w:val="auto"/>
          <w:sz w:val="22"/>
          <w:szCs w:val="22"/>
        </w:rPr>
      </w:pPr>
      <w:hyperlink w:anchor="_Toc418797608" w:history="1">
        <w:r w:rsidR="002103AF" w:rsidRPr="00E46972">
          <w:rPr>
            <w:rStyle w:val="a3"/>
            <w:rFonts w:eastAsia="Arial Unicode MS"/>
            <w:noProof/>
          </w:rPr>
          <w:t>Глава 2. Эмиссия ценных бумаг и выпуск векселей коммерческим банком</w:t>
        </w:r>
        <w:r w:rsidR="002103AF">
          <w:rPr>
            <w:noProof/>
            <w:webHidden/>
          </w:rPr>
          <w:tab/>
        </w:r>
        <w:r w:rsidR="00F01EEA">
          <w:rPr>
            <w:noProof/>
            <w:webHidden/>
          </w:rPr>
          <w:fldChar w:fldCharType="begin"/>
        </w:r>
        <w:r w:rsidR="002103AF">
          <w:rPr>
            <w:noProof/>
            <w:webHidden/>
          </w:rPr>
          <w:instrText xml:space="preserve"> PAGEREF _Toc418797608 \h </w:instrText>
        </w:r>
        <w:r w:rsidR="00F01EEA">
          <w:rPr>
            <w:noProof/>
            <w:webHidden/>
          </w:rPr>
        </w:r>
        <w:r w:rsidR="00F01EEA">
          <w:rPr>
            <w:noProof/>
            <w:webHidden/>
          </w:rPr>
          <w:fldChar w:fldCharType="separate"/>
        </w:r>
        <w:r w:rsidR="002103AF">
          <w:rPr>
            <w:noProof/>
            <w:webHidden/>
          </w:rPr>
          <w:t>14</w:t>
        </w:r>
        <w:r w:rsidR="00F01EEA">
          <w:rPr>
            <w:noProof/>
            <w:webHidden/>
          </w:rPr>
          <w:fldChar w:fldCharType="end"/>
        </w:r>
      </w:hyperlink>
    </w:p>
    <w:p w:rsidR="002103AF" w:rsidRDefault="00C443D9">
      <w:pPr>
        <w:pStyle w:val="25"/>
        <w:rPr>
          <w:rFonts w:asciiTheme="minorHAnsi" w:eastAsiaTheme="minorEastAsia" w:hAnsiTheme="minorHAnsi" w:cstheme="minorBidi"/>
          <w:noProof/>
          <w:color w:val="auto"/>
          <w:sz w:val="22"/>
          <w:szCs w:val="22"/>
        </w:rPr>
      </w:pPr>
      <w:hyperlink w:anchor="_Toc418797609" w:history="1">
        <w:r w:rsidR="002103AF" w:rsidRPr="00E46972">
          <w:rPr>
            <w:rStyle w:val="a3"/>
            <w:noProof/>
          </w:rPr>
          <w:t>2.1. Эмиссия ценных бумаг коммерческим банком</w:t>
        </w:r>
        <w:r w:rsidR="002103AF">
          <w:rPr>
            <w:noProof/>
            <w:webHidden/>
          </w:rPr>
          <w:tab/>
        </w:r>
        <w:r w:rsidR="00F01EEA">
          <w:rPr>
            <w:noProof/>
            <w:webHidden/>
          </w:rPr>
          <w:fldChar w:fldCharType="begin"/>
        </w:r>
        <w:r w:rsidR="002103AF">
          <w:rPr>
            <w:noProof/>
            <w:webHidden/>
          </w:rPr>
          <w:instrText xml:space="preserve"> PAGEREF _Toc418797609 \h </w:instrText>
        </w:r>
        <w:r w:rsidR="00F01EEA">
          <w:rPr>
            <w:noProof/>
            <w:webHidden/>
          </w:rPr>
        </w:r>
        <w:r w:rsidR="00F01EEA">
          <w:rPr>
            <w:noProof/>
            <w:webHidden/>
          </w:rPr>
          <w:fldChar w:fldCharType="separate"/>
        </w:r>
        <w:r w:rsidR="002103AF">
          <w:rPr>
            <w:noProof/>
            <w:webHidden/>
          </w:rPr>
          <w:t>14</w:t>
        </w:r>
        <w:r w:rsidR="00F01EEA">
          <w:rPr>
            <w:noProof/>
            <w:webHidden/>
          </w:rPr>
          <w:fldChar w:fldCharType="end"/>
        </w:r>
      </w:hyperlink>
    </w:p>
    <w:p w:rsidR="002103AF" w:rsidRDefault="00C443D9">
      <w:pPr>
        <w:pStyle w:val="25"/>
        <w:rPr>
          <w:rFonts w:asciiTheme="minorHAnsi" w:eastAsiaTheme="minorEastAsia" w:hAnsiTheme="minorHAnsi" w:cstheme="minorBidi"/>
          <w:noProof/>
          <w:color w:val="auto"/>
          <w:sz w:val="22"/>
          <w:szCs w:val="22"/>
        </w:rPr>
      </w:pPr>
      <w:hyperlink w:anchor="_Toc418797610" w:history="1">
        <w:r w:rsidR="002103AF" w:rsidRPr="00E46972">
          <w:rPr>
            <w:rStyle w:val="a3"/>
            <w:noProof/>
          </w:rPr>
          <w:t>2.2. Выпуск банками неэмиссионных бумаг</w:t>
        </w:r>
        <w:r w:rsidR="002103AF">
          <w:rPr>
            <w:noProof/>
            <w:webHidden/>
          </w:rPr>
          <w:tab/>
        </w:r>
        <w:r w:rsidR="00F01EEA">
          <w:rPr>
            <w:noProof/>
            <w:webHidden/>
          </w:rPr>
          <w:fldChar w:fldCharType="begin"/>
        </w:r>
        <w:r w:rsidR="002103AF">
          <w:rPr>
            <w:noProof/>
            <w:webHidden/>
          </w:rPr>
          <w:instrText xml:space="preserve"> PAGEREF _Toc418797610 \h </w:instrText>
        </w:r>
        <w:r w:rsidR="00F01EEA">
          <w:rPr>
            <w:noProof/>
            <w:webHidden/>
          </w:rPr>
        </w:r>
        <w:r w:rsidR="00F01EEA">
          <w:rPr>
            <w:noProof/>
            <w:webHidden/>
          </w:rPr>
          <w:fldChar w:fldCharType="separate"/>
        </w:r>
        <w:r w:rsidR="002103AF">
          <w:rPr>
            <w:noProof/>
            <w:webHidden/>
          </w:rPr>
          <w:t>19</w:t>
        </w:r>
        <w:r w:rsidR="00F01EEA">
          <w:rPr>
            <w:noProof/>
            <w:webHidden/>
          </w:rPr>
          <w:fldChar w:fldCharType="end"/>
        </w:r>
      </w:hyperlink>
    </w:p>
    <w:p w:rsidR="002103AF" w:rsidRDefault="00C443D9">
      <w:pPr>
        <w:pStyle w:val="25"/>
        <w:rPr>
          <w:rFonts w:asciiTheme="minorHAnsi" w:eastAsiaTheme="minorEastAsia" w:hAnsiTheme="minorHAnsi" w:cstheme="minorBidi"/>
          <w:noProof/>
          <w:color w:val="auto"/>
          <w:sz w:val="22"/>
          <w:szCs w:val="22"/>
        </w:rPr>
      </w:pPr>
      <w:hyperlink w:anchor="_Toc418797611" w:history="1">
        <w:r w:rsidR="002103AF" w:rsidRPr="00E46972">
          <w:rPr>
            <w:rStyle w:val="a3"/>
            <w:noProof/>
          </w:rPr>
          <w:t>2.2. Выпуск банками векселей</w:t>
        </w:r>
        <w:r w:rsidR="002103AF">
          <w:rPr>
            <w:noProof/>
            <w:webHidden/>
          </w:rPr>
          <w:tab/>
        </w:r>
        <w:r w:rsidR="00F01EEA">
          <w:rPr>
            <w:noProof/>
            <w:webHidden/>
          </w:rPr>
          <w:fldChar w:fldCharType="begin"/>
        </w:r>
        <w:r w:rsidR="002103AF">
          <w:rPr>
            <w:noProof/>
            <w:webHidden/>
          </w:rPr>
          <w:instrText xml:space="preserve"> PAGEREF _Toc418797611 \h </w:instrText>
        </w:r>
        <w:r w:rsidR="00F01EEA">
          <w:rPr>
            <w:noProof/>
            <w:webHidden/>
          </w:rPr>
        </w:r>
        <w:r w:rsidR="00F01EEA">
          <w:rPr>
            <w:noProof/>
            <w:webHidden/>
          </w:rPr>
          <w:fldChar w:fldCharType="separate"/>
        </w:r>
        <w:r w:rsidR="002103AF">
          <w:rPr>
            <w:noProof/>
            <w:webHidden/>
          </w:rPr>
          <w:t>21</w:t>
        </w:r>
        <w:r w:rsidR="00F01EEA">
          <w:rPr>
            <w:noProof/>
            <w:webHidden/>
          </w:rPr>
          <w:fldChar w:fldCharType="end"/>
        </w:r>
      </w:hyperlink>
    </w:p>
    <w:p w:rsidR="002103AF" w:rsidRDefault="00C443D9">
      <w:pPr>
        <w:pStyle w:val="13"/>
        <w:rPr>
          <w:rFonts w:asciiTheme="minorHAnsi" w:eastAsiaTheme="minorEastAsia" w:hAnsiTheme="minorHAnsi" w:cstheme="minorBidi"/>
          <w:noProof/>
          <w:color w:val="auto"/>
          <w:sz w:val="22"/>
          <w:szCs w:val="22"/>
        </w:rPr>
      </w:pPr>
      <w:hyperlink w:anchor="_Toc418797612" w:history="1">
        <w:r w:rsidR="002103AF" w:rsidRPr="00E46972">
          <w:rPr>
            <w:rStyle w:val="a3"/>
            <w:noProof/>
          </w:rPr>
          <w:t xml:space="preserve">Глава 3. Проблемы правового </w:t>
        </w:r>
        <w:r w:rsidR="002103AF" w:rsidRPr="00E46972">
          <w:rPr>
            <w:rStyle w:val="a3"/>
            <w:noProof/>
            <w:lang w:eastAsia="en-US" w:bidi="en-US"/>
          </w:rPr>
          <w:t>регулирования</w:t>
        </w:r>
        <w:r w:rsidR="002103AF" w:rsidRPr="00E46972">
          <w:rPr>
            <w:rStyle w:val="a3"/>
            <w:noProof/>
          </w:rPr>
          <w:t xml:space="preserve"> банковских сделок с ценными бумагами и пути их преодоления.</w:t>
        </w:r>
        <w:r w:rsidR="002103AF">
          <w:rPr>
            <w:noProof/>
            <w:webHidden/>
          </w:rPr>
          <w:tab/>
        </w:r>
        <w:r w:rsidR="00F01EEA">
          <w:rPr>
            <w:noProof/>
            <w:webHidden/>
          </w:rPr>
          <w:fldChar w:fldCharType="begin"/>
        </w:r>
        <w:r w:rsidR="002103AF">
          <w:rPr>
            <w:noProof/>
            <w:webHidden/>
          </w:rPr>
          <w:instrText xml:space="preserve"> PAGEREF _Toc418797612 \h </w:instrText>
        </w:r>
        <w:r w:rsidR="00F01EEA">
          <w:rPr>
            <w:noProof/>
            <w:webHidden/>
          </w:rPr>
        </w:r>
        <w:r w:rsidR="00F01EEA">
          <w:rPr>
            <w:noProof/>
            <w:webHidden/>
          </w:rPr>
          <w:fldChar w:fldCharType="separate"/>
        </w:r>
        <w:r w:rsidR="002103AF">
          <w:rPr>
            <w:noProof/>
            <w:webHidden/>
          </w:rPr>
          <w:t>27</w:t>
        </w:r>
        <w:r w:rsidR="00F01EEA">
          <w:rPr>
            <w:noProof/>
            <w:webHidden/>
          </w:rPr>
          <w:fldChar w:fldCharType="end"/>
        </w:r>
      </w:hyperlink>
    </w:p>
    <w:p w:rsidR="002103AF" w:rsidRDefault="00C443D9">
      <w:pPr>
        <w:pStyle w:val="13"/>
        <w:rPr>
          <w:rFonts w:asciiTheme="minorHAnsi" w:eastAsiaTheme="minorEastAsia" w:hAnsiTheme="minorHAnsi" w:cstheme="minorBidi"/>
          <w:noProof/>
          <w:color w:val="auto"/>
          <w:sz w:val="22"/>
          <w:szCs w:val="22"/>
        </w:rPr>
      </w:pPr>
      <w:hyperlink w:anchor="_Toc418797613" w:history="1">
        <w:r w:rsidR="002103AF" w:rsidRPr="00E46972">
          <w:rPr>
            <w:rStyle w:val="a3"/>
            <w:rFonts w:eastAsia="Arial Unicode MS"/>
            <w:noProof/>
            <w:lang w:bidi="ru-RU"/>
          </w:rPr>
          <w:t>Заключение</w:t>
        </w:r>
        <w:r w:rsidR="002103AF">
          <w:rPr>
            <w:noProof/>
            <w:webHidden/>
          </w:rPr>
          <w:tab/>
        </w:r>
        <w:r w:rsidR="00F01EEA">
          <w:rPr>
            <w:noProof/>
            <w:webHidden/>
          </w:rPr>
          <w:fldChar w:fldCharType="begin"/>
        </w:r>
        <w:r w:rsidR="002103AF">
          <w:rPr>
            <w:noProof/>
            <w:webHidden/>
          </w:rPr>
          <w:instrText xml:space="preserve"> PAGEREF _Toc418797613 \h </w:instrText>
        </w:r>
        <w:r w:rsidR="00F01EEA">
          <w:rPr>
            <w:noProof/>
            <w:webHidden/>
          </w:rPr>
        </w:r>
        <w:r w:rsidR="00F01EEA">
          <w:rPr>
            <w:noProof/>
            <w:webHidden/>
          </w:rPr>
          <w:fldChar w:fldCharType="separate"/>
        </w:r>
        <w:r w:rsidR="002103AF">
          <w:rPr>
            <w:noProof/>
            <w:webHidden/>
          </w:rPr>
          <w:t>32</w:t>
        </w:r>
        <w:r w:rsidR="00F01EEA">
          <w:rPr>
            <w:noProof/>
            <w:webHidden/>
          </w:rPr>
          <w:fldChar w:fldCharType="end"/>
        </w:r>
      </w:hyperlink>
    </w:p>
    <w:p w:rsidR="002103AF" w:rsidRDefault="00F01EEA">
      <w:r>
        <w:fldChar w:fldCharType="end"/>
      </w:r>
    </w:p>
    <w:p w:rsidR="009B0A1F" w:rsidRDefault="009B0A1F" w:rsidP="009B0A1F">
      <w:pPr>
        <w:pStyle w:val="13"/>
      </w:pPr>
    </w:p>
    <w:p w:rsidR="00396584" w:rsidRPr="00084244" w:rsidRDefault="00396584" w:rsidP="009B0A1F">
      <w:pPr>
        <w:pStyle w:val="1"/>
      </w:pPr>
      <w:bookmarkStart w:id="3" w:name="_Toc418797604"/>
      <w:r w:rsidRPr="00084244">
        <w:lastRenderedPageBreak/>
        <w:t>В</w:t>
      </w:r>
      <w:bookmarkEnd w:id="1"/>
      <w:bookmarkEnd w:id="2"/>
      <w:bookmarkEnd w:id="3"/>
      <w:r w:rsidR="002103AF">
        <w:t>ведение</w:t>
      </w:r>
    </w:p>
    <w:p w:rsidR="00396584" w:rsidRPr="00084244" w:rsidRDefault="00396584" w:rsidP="00396584">
      <w:r w:rsidRPr="00084244">
        <w:t>Операциями на рынке ценных бумаг, уже много лет во всем мире занимаются различные финансовые институты, в том числе и коммерческие банки. С переходом российской экономики на рыночные отношения операции с ценными бумагами вошли в практику большинства хозяйствующих субъектов и в России. Коммерческие банки, как наиболее подготовленные участники рынка, одними из первых освоили новый сегмент финансовой индустрии. Они быстро поняли, что на операциях с ценными бумагами можно зарабатывать немалую прибыль. С развитием фондового рынка и ввода новых финансовых инструментов, расширялись возможности коммерческих банков на рынке ценных бумаг, усложнялись применяемые схемы сделок.</w:t>
      </w:r>
    </w:p>
    <w:p w:rsidR="00396584" w:rsidRPr="00084244" w:rsidRDefault="00396584" w:rsidP="00396584">
      <w:r w:rsidRPr="00084244">
        <w:t>Российский фондовый рынок, сформированный на базе одновременно двух основных моделей - германской и американской - поставил его участников перед необходимостью развивать бизнес в достаточно специфических, по сравнению с мировым опытом, условиях.</w:t>
      </w:r>
    </w:p>
    <w:p w:rsidR="00396584" w:rsidRPr="00084244" w:rsidRDefault="00396584" w:rsidP="00396584">
      <w:r w:rsidRPr="00084244">
        <w:t>Актуальность работы состоит в выявлении специфики работы коммерческих банков с финансовыми инструментами в условиях формирования фондового рынка и выработке предложений по дальнейшему развитию банковских технологий в этой сфере. По мнению ряда научных деятелей в области экономике и финансов, в число которых входят Рубцов Б.Б., Смыслов Д.В., Абрамов А.Е., Миркин Я.М. и др., существующая практика проведения подобных операций себя далеко не исчерпала, поэтому коммерческие банки обладают большим потенциалом и перспективами дальнейшего роста в этом направлении бизнеса.</w:t>
      </w:r>
    </w:p>
    <w:p w:rsidR="00396584" w:rsidRPr="00084244" w:rsidRDefault="00396584" w:rsidP="000C43B4">
      <w:r w:rsidRPr="00084244">
        <w:t>Цель данной к</w:t>
      </w:r>
      <w:r>
        <w:t>урсовой</w:t>
      </w:r>
      <w:r w:rsidRPr="00084244">
        <w:t xml:space="preserve"> работы - выявление особенностей, отличающих принципы поведения коммерческих банков на рынке ценных бумаг (в качестве профессиональных участников) от поведения остальных профессио</w:t>
      </w:r>
      <w:r w:rsidR="002103AF">
        <w:t>нальных участников этого рынка.</w:t>
      </w:r>
    </w:p>
    <w:p w:rsidR="00396584" w:rsidRPr="00084244" w:rsidRDefault="00396584" w:rsidP="00396584">
      <w:pPr>
        <w:pStyle w:val="1"/>
      </w:pPr>
      <w:bookmarkStart w:id="4" w:name="_Toc418783225"/>
      <w:bookmarkStart w:id="5" w:name="_Toc418797082"/>
      <w:bookmarkStart w:id="6" w:name="_Toc418797605"/>
      <w:r>
        <w:t xml:space="preserve">Глава </w:t>
      </w:r>
      <w:r w:rsidRPr="00084244">
        <w:t>1</w:t>
      </w:r>
      <w:r w:rsidRPr="001F7B9D">
        <w:t>.</w:t>
      </w:r>
      <w:r>
        <w:t xml:space="preserve"> </w:t>
      </w:r>
      <w:r w:rsidRPr="001F7B9D">
        <w:t>Виды ценных бумаг и финансовых инструментов,</w:t>
      </w:r>
      <w:r>
        <w:t xml:space="preserve"> </w:t>
      </w:r>
      <w:r w:rsidRPr="001F7B9D">
        <w:t>применяемые в практике коммерческих банков</w:t>
      </w:r>
      <w:bookmarkEnd w:id="4"/>
      <w:bookmarkEnd w:id="5"/>
      <w:bookmarkEnd w:id="6"/>
    </w:p>
    <w:p w:rsidR="00396584" w:rsidRPr="00084244" w:rsidRDefault="00396584" w:rsidP="00396584">
      <w:pPr>
        <w:pStyle w:val="2"/>
      </w:pPr>
      <w:bookmarkStart w:id="7" w:name="_Toc418783226"/>
      <w:bookmarkStart w:id="8" w:name="_Toc418797083"/>
      <w:bookmarkStart w:id="9" w:name="_Toc418797606"/>
      <w:r w:rsidRPr="00084244">
        <w:t>1.1Основные виды ценных бумаг и финансовых инструментов</w:t>
      </w:r>
      <w:bookmarkEnd w:id="7"/>
      <w:bookmarkEnd w:id="8"/>
      <w:bookmarkEnd w:id="9"/>
    </w:p>
    <w:p w:rsidR="00404993" w:rsidRPr="00404993" w:rsidRDefault="00404993" w:rsidP="00404993">
      <w:r w:rsidRPr="00404993">
        <w:rPr>
          <w:u w:val="single"/>
        </w:rPr>
        <w:t>Ценными бумагами являются</w:t>
      </w:r>
      <w:r w:rsidRPr="00404993">
        <w:t xml:space="preserve">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404993" w:rsidRDefault="00404993" w:rsidP="00396584">
      <w:r w:rsidRPr="00404993">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r w:rsidRPr="00404993">
        <w:rPr>
          <w:color w:val="0000FF"/>
          <w:u w:val="single"/>
        </w:rPr>
        <w:t>статьей 149</w:t>
      </w:r>
      <w:r w:rsidRPr="00404993">
        <w:t xml:space="preserve"> настоящего Кодекса (бездокументарные ценные бумаги).</w:t>
      </w:r>
    </w:p>
    <w:p w:rsidR="00396584" w:rsidRPr="00084244" w:rsidRDefault="00396584" w:rsidP="00396584">
      <w:r w:rsidRPr="00084244">
        <w:t>Ценные бумаги в качестве предмета деятельности для коммерческих банков появились в нашей стране с началом перестройки и становления рыночных механизмов</w:t>
      </w:r>
      <w:r>
        <w:rPr>
          <w:rStyle w:val="a7"/>
        </w:rPr>
        <w:footnoteReference w:id="1"/>
      </w:r>
      <w:r w:rsidRPr="00084244">
        <w:t>.</w:t>
      </w:r>
    </w:p>
    <w:p w:rsidR="00396584" w:rsidRDefault="00396584" w:rsidP="00396584">
      <w:r w:rsidRPr="00084244">
        <w:t>В настоящее время в соответствии с действующим законодательством и сложившейся современной российской практикой делового оборота к ценным бумагам отнесены документы, которые удостоверяют с соблюдением установленной формы и обязательных реквизитов имущественные права, осуществление и передача которых возможна только при их предъявлении</w:t>
      </w:r>
      <w:r>
        <w:rPr>
          <w:rStyle w:val="a7"/>
        </w:rPr>
        <w:footnoteReference w:id="2"/>
      </w:r>
      <w:r w:rsidRPr="00084244">
        <w:t>. Однако данное определение является не полным, так как кроме имущественных прав, ценная бумага удостоверяет и неимущественные права владельца. Поэтому свое развитие определение ценных бумаг получило в федеральных законах, регулирующих более узкие сферы хозяйственной деятельности и посвященных отдельным классам активов, представленных ценными бумагами</w:t>
      </w:r>
    </w:p>
    <w:p w:rsidR="00404993" w:rsidRPr="00404993" w:rsidRDefault="00404993" w:rsidP="00396584">
      <w:r>
        <w:t xml:space="preserve">Гражданский кодекс подразделяет ценные бумаги на такие виды как </w:t>
      </w:r>
      <w:r w:rsidRPr="00404993">
        <w:t>:</w:t>
      </w:r>
    </w:p>
    <w:p w:rsidR="00404993" w:rsidRPr="00404993" w:rsidRDefault="00404993" w:rsidP="00404993">
      <w:pPr>
        <w:pStyle w:val="a4"/>
        <w:numPr>
          <w:ilvl w:val="0"/>
          <w:numId w:val="31"/>
        </w:numPr>
      </w:pPr>
      <w:r w:rsidRPr="00404993">
        <w:t>предъявительскими (це</w:t>
      </w:r>
      <w:r>
        <w:t>нными бумагами на предъявителя)</w:t>
      </w:r>
      <w:r w:rsidRPr="00404993">
        <w:t>;</w:t>
      </w:r>
    </w:p>
    <w:p w:rsidR="00404993" w:rsidRPr="00404993" w:rsidRDefault="00404993" w:rsidP="00404993">
      <w:pPr>
        <w:pStyle w:val="a4"/>
        <w:numPr>
          <w:ilvl w:val="0"/>
          <w:numId w:val="31"/>
        </w:numPr>
        <w:rPr>
          <w:lang w:val="en-US"/>
        </w:rPr>
      </w:pPr>
      <w:r>
        <w:t>ордерными;</w:t>
      </w:r>
    </w:p>
    <w:p w:rsidR="00404993" w:rsidRPr="00404993" w:rsidRDefault="00404993" w:rsidP="00404993">
      <w:pPr>
        <w:pStyle w:val="a4"/>
        <w:numPr>
          <w:ilvl w:val="0"/>
          <w:numId w:val="31"/>
        </w:numPr>
      </w:pPr>
      <w:r w:rsidRPr="00404993">
        <w:t>именными.</w:t>
      </w:r>
    </w:p>
    <w:p w:rsidR="00404993" w:rsidRPr="00404993" w:rsidRDefault="00404993" w:rsidP="00404993">
      <w:r w:rsidRPr="00404993">
        <w:t xml:space="preserve"> </w:t>
      </w:r>
      <w:r w:rsidRPr="00404993">
        <w:rPr>
          <w:u w:val="single"/>
        </w:rPr>
        <w:t>Предъявительской</w:t>
      </w:r>
      <w:r w:rsidRPr="00404993">
        <w:t xml:space="preserve"> является документарная ценная бумага, по которой лицом, уполномоченным требовать исполнения по ней, признается ее владелец.</w:t>
      </w:r>
    </w:p>
    <w:p w:rsidR="00404993" w:rsidRPr="00404993" w:rsidRDefault="00404993" w:rsidP="00404993">
      <w:r w:rsidRPr="00404993">
        <w:t xml:space="preserve"> </w:t>
      </w:r>
      <w:r w:rsidRPr="00404993">
        <w:rPr>
          <w:u w:val="single"/>
        </w:rPr>
        <w:t>Ордерной</w:t>
      </w:r>
      <w:r w:rsidRPr="00404993">
        <w:t xml:space="preserve">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404993" w:rsidRPr="00404993" w:rsidRDefault="00404993" w:rsidP="00404993">
      <w:r w:rsidRPr="00404993">
        <w:rPr>
          <w:u w:val="single"/>
        </w:rPr>
        <w:t>Именной</w:t>
      </w:r>
      <w:r w:rsidRPr="00404993">
        <w:t xml:space="preserve">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404993" w:rsidRPr="00404993" w:rsidRDefault="00404993" w:rsidP="00404993">
      <w:r w:rsidRPr="00404993">
        <w:t xml:space="preserve">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w:t>
      </w:r>
      <w:r w:rsidRPr="00404993">
        <w:rPr>
          <w:color w:val="0000FF"/>
          <w:u w:val="single"/>
        </w:rPr>
        <w:t>лицензию</w:t>
      </w:r>
      <w:r w:rsidRPr="00404993">
        <w:t xml:space="preserve"> лицом. Законом может быть предусмотрена обязанность передачи такого учета лицу, имеющему соответствующую лицензию;</w:t>
      </w:r>
    </w:p>
    <w:p w:rsidR="00404993" w:rsidRPr="00404993" w:rsidRDefault="00404993" w:rsidP="00404993">
      <w:r w:rsidRPr="00404993">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396584" w:rsidRPr="00084244" w:rsidRDefault="00396584" w:rsidP="00396584">
      <w:r w:rsidRPr="00084244">
        <w:t>Современные коммерческие банки используют ценные бумаги в основном в следующих направлениях деятельности - поддержание ликвидности, повышение качества обеспечения при кредитовании, создание новых инвестиционных продуктов.</w:t>
      </w:r>
    </w:p>
    <w:p w:rsidR="00396584" w:rsidRPr="00084244" w:rsidRDefault="00396584" w:rsidP="00396584">
      <w:r w:rsidRPr="00084244">
        <w:t xml:space="preserve">Ценные бумаги являются основным предметом деятельности для таких подразделений коммерческих банков как казначейства, кредитные департаменты, департаменты инвестиционно-банковских услуг. </w:t>
      </w:r>
      <w:r>
        <w:t>О</w:t>
      </w:r>
      <w:r w:rsidRPr="00084244">
        <w:t>сновные функции, выполняемые названными подразделениями коммерческого банка и основные виды ценных бумаг, которые ими при всём этом используются.</w:t>
      </w:r>
    </w:p>
    <w:p w:rsidR="00396584" w:rsidRPr="00B63896" w:rsidRDefault="00396584" w:rsidP="00396584">
      <w:r w:rsidRPr="00084244">
        <w:t>В каждодневной деятельности коммерческих банков отсутствует жесткая система классификации ценных бумаг, установленная регулятором. Поэтому банки классифицируют ценные бумаги в соответствии с наиболее распространенной практикой, деля их на долевые и долговые, эмиссионные и не эмиссионные, срочные и бессрочные, документарные и бездокументарные и так далее в зависимости от обстоятельств сделки и требований, предъявляемых к участникам сделки. Отсутствие строгой системы классификации ценных бумаг не оказывает значительного влияния на практику работы банков с ними</w:t>
      </w:r>
      <w:r>
        <w:t xml:space="preserve">. Один </w:t>
      </w:r>
      <w:r w:rsidRPr="00084244">
        <w:t xml:space="preserve"> из вариантов такой классификации для наиболее популярных в российской банковской практике ценных бумаг: облигаций, векселей и акций. Классификация предложена исходя из требований российских законодательных и нормативных актов. Под признаком «документарной/бездокументарной» формы понимается форма существования ценной бумаги в виде документа на бумажном носителе.</w:t>
      </w:r>
    </w:p>
    <w:p w:rsidR="00396584" w:rsidRPr="000D42F7" w:rsidRDefault="00396584" w:rsidP="00396584"/>
    <w:p w:rsidR="00396584" w:rsidRPr="000D42F7" w:rsidRDefault="00396584" w:rsidP="00396584">
      <w:r>
        <w:t xml:space="preserve">Основные ценные </w:t>
      </w:r>
      <w:r w:rsidR="000C43B4">
        <w:t>бумаги,</w:t>
      </w:r>
      <w:r>
        <w:t xml:space="preserve"> используемые коммерческими банками</w:t>
      </w:r>
      <w:r w:rsidRPr="000D42F7">
        <w:t>:</w:t>
      </w:r>
    </w:p>
    <w:p w:rsidR="00396584" w:rsidRDefault="00396584" w:rsidP="00396584">
      <w:r w:rsidRPr="00084244">
        <w:t xml:space="preserve">а) </w:t>
      </w:r>
      <w:r w:rsidRPr="000D42F7">
        <w:rPr>
          <w:u w:val="single"/>
        </w:rPr>
        <w:t>Акция</w:t>
      </w:r>
      <w:r>
        <w:rPr>
          <w:rStyle w:val="a7"/>
        </w:rPr>
        <w:footnoteReference w:id="3"/>
      </w:r>
      <w:r w:rsidRPr="000D42F7">
        <w:t xml:space="preserve"> -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396584" w:rsidRDefault="00396584" w:rsidP="000C0A97">
      <w:pPr>
        <w:pStyle w:val="a4"/>
        <w:numPr>
          <w:ilvl w:val="0"/>
          <w:numId w:val="20"/>
        </w:numPr>
        <w:ind w:left="851" w:hanging="284"/>
      </w:pPr>
      <w:r>
        <w:t>Простые (или обыкновенные) – наиболее типичный вид акций, поскольку каждое акционерное общество имеет обыкновенные ценные бумаги. Простые акции удостоверяют права своего владельца (акционера) на получение прибыли по итогам деятельности АО в виде</w:t>
      </w:r>
      <w:r w:rsidRPr="000D42F7">
        <w:rPr>
          <w:rStyle w:val="apple-converted-space"/>
          <w:rFonts w:ascii="Verdana" w:hAnsi="Verdana"/>
          <w:sz w:val="20"/>
        </w:rPr>
        <w:t xml:space="preserve"> </w:t>
      </w:r>
      <w:r>
        <w:t xml:space="preserve">дивидендов или путем расчета курсовой стоимости, на управление политикой компании, в том числе при помощи голосования на общем собрании акционеров, на получение доли имущества </w:t>
      </w:r>
    </w:p>
    <w:p w:rsidR="00396584" w:rsidRDefault="00396584" w:rsidP="000C0A97">
      <w:pPr>
        <w:pStyle w:val="a4"/>
        <w:numPr>
          <w:ilvl w:val="0"/>
          <w:numId w:val="20"/>
        </w:numPr>
        <w:ind w:left="851" w:hanging="284"/>
      </w:pPr>
      <w:r>
        <w:t>Привилегированные (префы) долевые ценные бумаги отличаются от первого вида в первую очередь тем, что, как правило, не предоставляют своему обладателю права голоса на собрании акционеров.</w:t>
      </w:r>
    </w:p>
    <w:p w:rsidR="00396584" w:rsidRPr="000D42F7" w:rsidRDefault="00396584" w:rsidP="000C0A97">
      <w:pPr>
        <w:ind w:left="851" w:hanging="284"/>
      </w:pPr>
      <w:r w:rsidRPr="000D42F7">
        <w:t>Другие виды акций:</w:t>
      </w:r>
    </w:p>
    <w:p w:rsidR="00396584" w:rsidRPr="000D42F7" w:rsidRDefault="00396584" w:rsidP="000C0A97">
      <w:pPr>
        <w:pStyle w:val="a4"/>
        <w:numPr>
          <w:ilvl w:val="0"/>
          <w:numId w:val="19"/>
        </w:numPr>
        <w:ind w:left="851" w:hanging="284"/>
      </w:pPr>
      <w:r w:rsidRPr="000D42F7">
        <w:t>Именные</w:t>
      </w:r>
    </w:p>
    <w:p w:rsidR="00396584" w:rsidRPr="000D42F7" w:rsidRDefault="00396584" w:rsidP="000C0A97">
      <w:pPr>
        <w:pStyle w:val="a4"/>
        <w:numPr>
          <w:ilvl w:val="0"/>
          <w:numId w:val="19"/>
        </w:numPr>
        <w:ind w:left="851" w:hanging="284"/>
      </w:pPr>
      <w:r w:rsidRPr="000D42F7">
        <w:t>На предъявителя</w:t>
      </w:r>
    </w:p>
    <w:p w:rsidR="00396584" w:rsidRPr="000D42F7" w:rsidRDefault="00396584" w:rsidP="00396584">
      <w:pPr>
        <w:rPr>
          <w:rFonts w:ascii="Verdana" w:hAnsi="Verdana"/>
          <w:sz w:val="21"/>
          <w:szCs w:val="21"/>
        </w:rPr>
      </w:pPr>
      <w:r w:rsidRPr="00084244">
        <w:t xml:space="preserve">б) </w:t>
      </w:r>
      <w:r w:rsidRPr="009A0BFD">
        <w:rPr>
          <w:u w:val="single"/>
        </w:rPr>
        <w:t>Облигация</w:t>
      </w:r>
      <w:r>
        <w:rPr>
          <w:rStyle w:val="a7"/>
        </w:rPr>
        <w:footnoteReference w:id="4"/>
      </w:r>
      <w:r w:rsidRPr="000D42F7">
        <w:t xml:space="preserve"> - эмиссионная ценная бумага, закрепляющая право ее владельца на получение от эмитента облигации в предусмотренный в ней срок ее номинальной стоимости или иного имущественного эквивалента. Облигация может также предусматривать право ее владельца на получение фиксированного в ней процента от номинальной стоимости облигации либо иные имущественные права. Доходом по облигации являются процент и/или дисконт.</w:t>
      </w:r>
    </w:p>
    <w:p w:rsidR="00396584" w:rsidRPr="00084244" w:rsidRDefault="00396584" w:rsidP="00396584">
      <w:r w:rsidRPr="00084244">
        <w:t>Главное отличие облигации от акции является, то, что облигация - долговое свидетельство, а акция - свидетельствует права собственности. Покупая акции, инвестор становится собственником общества, а приобретая облигации - кредитором</w:t>
      </w:r>
      <w:r>
        <w:rPr>
          <w:rStyle w:val="a7"/>
        </w:rPr>
        <w:footnoteReference w:id="5"/>
      </w:r>
      <w:r w:rsidRPr="00084244">
        <w:t>.</w:t>
      </w:r>
    </w:p>
    <w:p w:rsidR="00396584" w:rsidRPr="00084244" w:rsidRDefault="00396584" w:rsidP="00396584">
      <w:r w:rsidRPr="00084244">
        <w:t>Облигации можно классифицировать по различным признакам. Самые распространенные из них - в зависимости от эмитента: государственные, корпоративные, иностранные. Популярна и классификация облигаций зависимости от сроков погашения: краткосрочные, среднесрочные и долгосрочные</w:t>
      </w:r>
      <w:r>
        <w:rPr>
          <w:rStyle w:val="a7"/>
        </w:rPr>
        <w:footnoteReference w:id="6"/>
      </w:r>
      <w:r w:rsidRPr="00084244">
        <w:t>.</w:t>
      </w:r>
    </w:p>
    <w:p w:rsidR="00396584" w:rsidRPr="00084244" w:rsidRDefault="00396584" w:rsidP="00396584">
      <w:r w:rsidRPr="00084244">
        <w:t>Так как облигация является долговым инструментом, то ее обычно выпускают для привлечения ссудного капитала, то есть для обеспечения финансирования на платной основе, на определенный срок, с определенной целью и с обязательствами возврата основной суммы и платы за ее использование. Это также коренным образом отличает облигации от акций. Облигации могут выпускаться как с обеспечением, так и без него.</w:t>
      </w:r>
    </w:p>
    <w:p w:rsidR="00396584" w:rsidRPr="00084244" w:rsidRDefault="00396584" w:rsidP="00396584">
      <w:r w:rsidRPr="00084244">
        <w:t xml:space="preserve">в) </w:t>
      </w:r>
      <w:r w:rsidRPr="000D42F7">
        <w:rPr>
          <w:u w:val="single"/>
        </w:rPr>
        <w:t>Вексель</w:t>
      </w:r>
      <w:r w:rsidRPr="00084244">
        <w:t xml:space="preserve"> - письменное долговое обязательство установленной законом формы, выдаваемое заемщиком (векселедателем) кредитору (векселедержателю), предоставляющее последнему право требовать с заемщика уплаты к определенному сроку суммы указанной в векселе.</w:t>
      </w:r>
    </w:p>
    <w:p w:rsidR="00396584" w:rsidRPr="00084244" w:rsidRDefault="00396584" w:rsidP="00396584">
      <w:r w:rsidRPr="00084244">
        <w:t>Вексель является долговым инструментом, но у него есть отличия от непосредственно долговой расписки:</w:t>
      </w:r>
    </w:p>
    <w:p w:rsidR="00396584" w:rsidRPr="00084244" w:rsidRDefault="00396584" w:rsidP="00396584">
      <w:r w:rsidRPr="00084244">
        <w:t>во-первых, вексель может быть передан любому лицу, который может не иметь никакого отношения к его возникновению, но будет являться векселедержателем,</w:t>
      </w:r>
    </w:p>
    <w:p w:rsidR="00396584" w:rsidRPr="00084244" w:rsidRDefault="00396584" w:rsidP="00396584">
      <w:r w:rsidRPr="00084244">
        <w:t>во-вторых, платеж по векселю является безусловным финансовым обязательством.</w:t>
      </w:r>
    </w:p>
    <w:p w:rsidR="00396584" w:rsidRPr="00084244" w:rsidRDefault="00396584" w:rsidP="00396584">
      <w:r w:rsidRPr="00084244">
        <w:t>Также стоит отметить, что вексель отличает солидарная ответственность.</w:t>
      </w:r>
    </w:p>
    <w:p w:rsidR="00396584" w:rsidRDefault="00396584" w:rsidP="00396584">
      <w:r w:rsidRPr="00084244">
        <w:t>В настоящее время в среде коммерческих банков наибольшее распространение получили простые векселя, представляющие собой письменный документ, содержащий простое, ничем не обусловленное обязат</w:t>
      </w:r>
      <w:r w:rsidR="002103AF">
        <w:t>ельство векселедателя</w:t>
      </w:r>
      <w:r w:rsidRPr="00084244">
        <w:t xml:space="preserve"> уплатить определенную сумму денег в установленный срок и в конкретном месте векселедержателю по его приказу</w:t>
      </w:r>
      <w:r>
        <w:rPr>
          <w:rStyle w:val="a7"/>
        </w:rPr>
        <w:footnoteReference w:id="7"/>
      </w:r>
      <w:r w:rsidRPr="00084244">
        <w:t>.</w:t>
      </w:r>
    </w:p>
    <w:p w:rsidR="000C0A97" w:rsidRPr="00084244" w:rsidRDefault="000C0A97" w:rsidP="00396584"/>
    <w:p w:rsidR="00396584" w:rsidRPr="000D42F7" w:rsidRDefault="00396584" w:rsidP="00396584">
      <w:r w:rsidRPr="00084244">
        <w:t>Помимо ценных бумаг коммерческие банки активно осваивают работу с производными финансовыми инструментами:</w:t>
      </w:r>
    </w:p>
    <w:p w:rsidR="00396584" w:rsidRPr="00084244" w:rsidRDefault="00396584" w:rsidP="000C43B4">
      <w:pPr>
        <w:pStyle w:val="a4"/>
        <w:numPr>
          <w:ilvl w:val="0"/>
          <w:numId w:val="18"/>
        </w:numPr>
        <w:ind w:left="993" w:hanging="426"/>
      </w:pPr>
      <w:r w:rsidRPr="009A0BFD">
        <w:rPr>
          <w:u w:val="single"/>
        </w:rPr>
        <w:t xml:space="preserve">Форвардный контракт </w:t>
      </w:r>
      <w:r w:rsidRPr="00084244">
        <w:t>- договор купли-продажи (поставки) какого-либо актива через какой-либо срок в будущем, все условия сделки оговариваются в момент заключения.</w:t>
      </w:r>
    </w:p>
    <w:p w:rsidR="00396584" w:rsidRPr="00084244" w:rsidRDefault="00396584" w:rsidP="000C43B4">
      <w:pPr>
        <w:pStyle w:val="a4"/>
        <w:numPr>
          <w:ilvl w:val="0"/>
          <w:numId w:val="18"/>
        </w:numPr>
        <w:ind w:left="993" w:hanging="426"/>
      </w:pPr>
      <w:r w:rsidRPr="009A0BFD">
        <w:rPr>
          <w:u w:val="single"/>
        </w:rPr>
        <w:t xml:space="preserve">Фьючерсный контракт </w:t>
      </w:r>
      <w:r w:rsidRPr="00084244">
        <w:t>- это форма форвардного контракта разрешенного к заключению на бирже. Это стандартный биржевой договор купли-продажи биржевого актива через определенный срок в будущем по цене, согласованной в момент заключения сделки.</w:t>
      </w:r>
    </w:p>
    <w:p w:rsidR="00396584" w:rsidRPr="00084244" w:rsidRDefault="00396584" w:rsidP="000C43B4">
      <w:pPr>
        <w:pStyle w:val="a4"/>
        <w:numPr>
          <w:ilvl w:val="0"/>
          <w:numId w:val="18"/>
        </w:numPr>
        <w:ind w:left="993" w:hanging="426"/>
      </w:pPr>
      <w:r w:rsidRPr="009A0BFD">
        <w:rPr>
          <w:u w:val="single"/>
        </w:rPr>
        <w:t>Опцион</w:t>
      </w:r>
      <w:r w:rsidRPr="00084244">
        <w:t xml:space="preserve"> - это стандартный договор купли-продажи биржевого актива, в соответствии с которым его держатель получает право купить/продать этот актив по определенной цене до установленной даты в будущем или на эту даты с уплатой на полученное право подписчику определенной суммы денег, называемой премией.</w:t>
      </w:r>
    </w:p>
    <w:p w:rsidR="00396584" w:rsidRPr="00084244" w:rsidRDefault="00396584" w:rsidP="000C43B4">
      <w:pPr>
        <w:pStyle w:val="a4"/>
        <w:numPr>
          <w:ilvl w:val="0"/>
          <w:numId w:val="18"/>
        </w:numPr>
        <w:ind w:left="993" w:hanging="426"/>
      </w:pPr>
      <w:r w:rsidRPr="009A0BFD">
        <w:rPr>
          <w:u w:val="single"/>
        </w:rPr>
        <w:t>Своп</w:t>
      </w:r>
      <w:r>
        <w:rPr>
          <w:rStyle w:val="a7"/>
        </w:rPr>
        <w:footnoteReference w:id="8"/>
      </w:r>
      <w:r w:rsidRPr="00084244">
        <w:t xml:space="preserve"> - договорная конструкция, на основе которой стороны обмениваются своими обязательствами: активами, и/или связанными с ними фиксированными выплатами (наиболее распространенный вариант - процентные выплаты) в определенно периоде.</w:t>
      </w:r>
    </w:p>
    <w:p w:rsidR="00396584" w:rsidRPr="00084244" w:rsidRDefault="00396584" w:rsidP="00396584">
      <w:r w:rsidRPr="00084244">
        <w:t>Существуют также другие виды ценных бумаг, которые могут присутствовать в банковской деятельности - это, чек, закладная, банковский сертификат, и др.</w:t>
      </w:r>
    </w:p>
    <w:p w:rsidR="00396584" w:rsidRPr="00084244" w:rsidRDefault="00396584" w:rsidP="00396584">
      <w:pPr>
        <w:pStyle w:val="1"/>
      </w:pPr>
      <w:bookmarkStart w:id="10" w:name="_Toc418783227"/>
      <w:bookmarkStart w:id="11" w:name="_Toc418797084"/>
      <w:bookmarkStart w:id="12" w:name="_Toc418797607"/>
      <w:r>
        <w:t>1.2</w:t>
      </w:r>
      <w:r w:rsidRPr="000D42F7">
        <w:t xml:space="preserve"> </w:t>
      </w:r>
      <w:r w:rsidRPr="00084244">
        <w:t>Коммерческие банки как профессиональные участники рынка ценных бумаг</w:t>
      </w:r>
      <w:bookmarkEnd w:id="10"/>
      <w:bookmarkEnd w:id="11"/>
      <w:bookmarkEnd w:id="12"/>
    </w:p>
    <w:p w:rsidR="00396584" w:rsidRPr="00084244" w:rsidRDefault="00396584" w:rsidP="00396584">
      <w:r w:rsidRPr="00084244">
        <w:t>Коммерческие банки являются профессиональными участниками рынка ценных бумаг. В разных странах законодательство определяет их деятельность по-разному. В некоторых странах банки занимают большую долю на рынке чем какие-либо другие инвесторы и имеют более обширные возможности, как и в выборе инструментов, так и в проведении различных операций на рынке. Например, в Германии крупнейшими игроками рынка ценных бумаг являются коммерческие банки (DeutscheBank AG, CommerzBank AG и др.). Банковская система Германии является традиционной - коммерческие банки могут заниматься любыми видами деятельности, в том числе и операциями с ценными бумагами.</w:t>
      </w:r>
    </w:p>
    <w:p w:rsidR="00396584" w:rsidRPr="00084244" w:rsidRDefault="00396584" w:rsidP="00396584">
      <w:r w:rsidRPr="00084244">
        <w:t>В США наиболее активными профессиональными участниками фондового рынка являются инвестиционные банки</w:t>
      </w:r>
      <w:r>
        <w:rPr>
          <w:rStyle w:val="a7"/>
        </w:rPr>
        <w:footnoteReference w:id="9"/>
      </w:r>
      <w:r w:rsidRPr="00084244">
        <w:t>.</w:t>
      </w:r>
    </w:p>
    <w:p w:rsidR="00396584" w:rsidRPr="00084244" w:rsidRDefault="00396584" w:rsidP="00396584">
      <w:r w:rsidRPr="00084244">
        <w:t>В современной России сложилась континентальная (приближенная к Германской) модель банковской системы. До 1991 года в СССР не было коммерческих банков. Банковская система состояла из Государственного банка и ряда специализированных (таких как Банк для внешнеэкономической деятельности - нынешний ВЭБ, Стройбанк, Жилсоцбанк, Агропромбанк и Сберегательный банк, представленный системой сберегательных касс). Банковская система являлась полностью государственной. Понятие частной собственности просто отсутствовало в традиционном понимании этого слова. Рынок ценных бумаг был представлен отдельными крайне деформированными элементами - такими, как уже упоминавшиеся облигации государственных займов и векселями, используемыми исключительно в международной торговле.</w:t>
      </w:r>
    </w:p>
    <w:p w:rsidR="00396584" w:rsidRDefault="00396584" w:rsidP="00CE59E7">
      <w:r w:rsidRPr="00084244">
        <w:t>После 1991 года в стране начались реформы, стали возникать коммерческие банки и развиваться рынок ценных бумаг. При формировании банковской системы в основу была положена германская модель, что позволяло коммерческим банкам, получив соответствующие лицензии, заниматься как традиционной банковской деятельностью (проведение расчетно-кассового обслуживания, валютных операций, кредитования, работы с населением) так и проводить операции на рынке ценных бумаг, то есть выполнять функции, присущие инвестиционным банкам.</w:t>
      </w:r>
    </w:p>
    <w:p w:rsidR="00CE59E7" w:rsidRPr="0077030F" w:rsidRDefault="00CE59E7" w:rsidP="00CE59E7">
      <w:pPr>
        <w:pStyle w:val="22"/>
        <w:shd w:val="clear" w:color="auto" w:fill="auto"/>
        <w:spacing w:line="360" w:lineRule="auto"/>
        <w:rPr>
          <w:sz w:val="28"/>
          <w:szCs w:val="28"/>
        </w:rPr>
      </w:pPr>
      <w:r w:rsidRPr="0077030F">
        <w:rPr>
          <w:rStyle w:val="21"/>
          <w:color w:val="000000"/>
          <w:sz w:val="28"/>
          <w:szCs w:val="28"/>
        </w:rPr>
        <w:t xml:space="preserve">В федеральном законе «О рынке ценных бумаг» определены следующие </w:t>
      </w:r>
      <w:r w:rsidRPr="0077030F">
        <w:rPr>
          <w:rStyle w:val="31"/>
          <w:color w:val="000000"/>
        </w:rPr>
        <w:t>виды профессиональной деятельности на рынке ценных бумаг.</w:t>
      </w:r>
    </w:p>
    <w:p w:rsidR="00CE59E7" w:rsidRPr="0077030F" w:rsidRDefault="00CE59E7" w:rsidP="00CE59E7">
      <w:pPr>
        <w:pStyle w:val="22"/>
        <w:numPr>
          <w:ilvl w:val="0"/>
          <w:numId w:val="1"/>
        </w:numPr>
        <w:shd w:val="clear" w:color="auto" w:fill="auto"/>
        <w:tabs>
          <w:tab w:val="left" w:pos="1095"/>
        </w:tabs>
        <w:suppressAutoHyphens w:val="0"/>
        <w:spacing w:line="360" w:lineRule="auto"/>
        <w:ind w:firstLine="580"/>
        <w:rPr>
          <w:sz w:val="28"/>
          <w:szCs w:val="28"/>
        </w:rPr>
      </w:pPr>
      <w:r w:rsidRPr="0077030F">
        <w:rPr>
          <w:rStyle w:val="21"/>
          <w:color w:val="000000"/>
          <w:sz w:val="28"/>
          <w:szCs w:val="28"/>
        </w:rPr>
        <w:t>брокерская деятельность:</w:t>
      </w:r>
    </w:p>
    <w:p w:rsidR="00CE59E7" w:rsidRPr="0077030F" w:rsidRDefault="00CE59E7" w:rsidP="00CE59E7">
      <w:pPr>
        <w:pStyle w:val="22"/>
        <w:numPr>
          <w:ilvl w:val="0"/>
          <w:numId w:val="1"/>
        </w:numPr>
        <w:shd w:val="clear" w:color="auto" w:fill="auto"/>
        <w:tabs>
          <w:tab w:val="left" w:pos="1095"/>
        </w:tabs>
        <w:suppressAutoHyphens w:val="0"/>
        <w:spacing w:line="360" w:lineRule="auto"/>
        <w:ind w:firstLine="580"/>
        <w:rPr>
          <w:sz w:val="28"/>
          <w:szCs w:val="28"/>
        </w:rPr>
      </w:pPr>
      <w:r w:rsidRPr="0077030F">
        <w:rPr>
          <w:rStyle w:val="21"/>
          <w:color w:val="000000"/>
          <w:sz w:val="28"/>
          <w:szCs w:val="28"/>
        </w:rPr>
        <w:t>дилерская деятельность:</w:t>
      </w:r>
    </w:p>
    <w:p w:rsidR="00CE59E7" w:rsidRPr="0077030F" w:rsidRDefault="00CE59E7" w:rsidP="00CE59E7">
      <w:pPr>
        <w:pStyle w:val="22"/>
        <w:numPr>
          <w:ilvl w:val="0"/>
          <w:numId w:val="1"/>
        </w:numPr>
        <w:shd w:val="clear" w:color="auto" w:fill="auto"/>
        <w:tabs>
          <w:tab w:val="left" w:pos="1095"/>
        </w:tabs>
        <w:suppressAutoHyphens w:val="0"/>
        <w:spacing w:line="360" w:lineRule="auto"/>
        <w:ind w:firstLine="580"/>
        <w:rPr>
          <w:sz w:val="28"/>
          <w:szCs w:val="28"/>
        </w:rPr>
      </w:pPr>
      <w:r w:rsidRPr="0077030F">
        <w:rPr>
          <w:rStyle w:val="21"/>
          <w:color w:val="000000"/>
          <w:sz w:val="28"/>
          <w:szCs w:val="28"/>
        </w:rPr>
        <w:t>деятельность по управлению ценными бумагами;</w:t>
      </w:r>
    </w:p>
    <w:p w:rsidR="00CE59E7" w:rsidRPr="0077030F" w:rsidRDefault="00CE59E7" w:rsidP="00CE59E7">
      <w:pPr>
        <w:pStyle w:val="22"/>
        <w:numPr>
          <w:ilvl w:val="0"/>
          <w:numId w:val="1"/>
        </w:numPr>
        <w:shd w:val="clear" w:color="auto" w:fill="auto"/>
        <w:tabs>
          <w:tab w:val="left" w:pos="1063"/>
        </w:tabs>
        <w:suppressAutoHyphens w:val="0"/>
        <w:spacing w:line="360" w:lineRule="auto"/>
        <w:ind w:firstLine="580"/>
        <w:rPr>
          <w:sz w:val="28"/>
          <w:szCs w:val="28"/>
        </w:rPr>
      </w:pPr>
      <w:r w:rsidRPr="0077030F">
        <w:rPr>
          <w:rStyle w:val="21"/>
          <w:color w:val="000000"/>
          <w:sz w:val="28"/>
          <w:szCs w:val="28"/>
        </w:rPr>
        <w:t>деятельность по определению взаимных обязательств (клиринг):</w:t>
      </w:r>
    </w:p>
    <w:p w:rsidR="00CE59E7" w:rsidRPr="0077030F" w:rsidRDefault="00CE59E7" w:rsidP="00CE59E7">
      <w:pPr>
        <w:pStyle w:val="22"/>
        <w:numPr>
          <w:ilvl w:val="0"/>
          <w:numId w:val="1"/>
        </w:numPr>
        <w:shd w:val="clear" w:color="auto" w:fill="auto"/>
        <w:tabs>
          <w:tab w:val="left" w:pos="1095"/>
        </w:tabs>
        <w:suppressAutoHyphens w:val="0"/>
        <w:spacing w:line="360" w:lineRule="auto"/>
        <w:ind w:firstLine="580"/>
        <w:rPr>
          <w:sz w:val="28"/>
          <w:szCs w:val="28"/>
        </w:rPr>
      </w:pPr>
      <w:r w:rsidRPr="0077030F">
        <w:rPr>
          <w:rStyle w:val="21"/>
          <w:color w:val="000000"/>
          <w:sz w:val="28"/>
          <w:szCs w:val="28"/>
        </w:rPr>
        <w:t>депозитарная деятельность:</w:t>
      </w:r>
    </w:p>
    <w:p w:rsidR="00CE59E7" w:rsidRPr="0077030F" w:rsidRDefault="00CE59E7" w:rsidP="00CE59E7">
      <w:pPr>
        <w:pStyle w:val="22"/>
        <w:numPr>
          <w:ilvl w:val="0"/>
          <w:numId w:val="1"/>
        </w:numPr>
        <w:shd w:val="clear" w:color="auto" w:fill="auto"/>
        <w:tabs>
          <w:tab w:val="left" w:pos="1070"/>
        </w:tabs>
        <w:suppressAutoHyphens w:val="0"/>
        <w:spacing w:line="360" w:lineRule="auto"/>
        <w:ind w:firstLine="580"/>
        <w:rPr>
          <w:sz w:val="28"/>
          <w:szCs w:val="28"/>
        </w:rPr>
      </w:pPr>
      <w:r w:rsidRPr="0077030F">
        <w:rPr>
          <w:rStyle w:val="21"/>
          <w:color w:val="000000"/>
          <w:sz w:val="28"/>
          <w:szCs w:val="28"/>
        </w:rPr>
        <w:t>деятельность по ведению реестра владельцев ценных бумаг;</w:t>
      </w:r>
    </w:p>
    <w:p w:rsidR="00CE59E7" w:rsidRPr="0077030F" w:rsidRDefault="00CE59E7" w:rsidP="00CE59E7">
      <w:pPr>
        <w:pStyle w:val="22"/>
        <w:numPr>
          <w:ilvl w:val="0"/>
          <w:numId w:val="1"/>
        </w:numPr>
        <w:shd w:val="clear" w:color="auto" w:fill="auto"/>
        <w:tabs>
          <w:tab w:val="left" w:pos="1070"/>
        </w:tabs>
        <w:suppressAutoHyphens w:val="0"/>
        <w:spacing w:line="360" w:lineRule="auto"/>
        <w:ind w:firstLine="580"/>
        <w:rPr>
          <w:sz w:val="28"/>
          <w:szCs w:val="28"/>
        </w:rPr>
      </w:pPr>
      <w:r w:rsidRPr="0077030F">
        <w:rPr>
          <w:rStyle w:val="21"/>
          <w:color w:val="000000"/>
          <w:sz w:val="28"/>
          <w:szCs w:val="28"/>
        </w:rPr>
        <w:t>деятельность по организации торговли на рынке ценных бумаг</w:t>
      </w:r>
      <w:r w:rsidRPr="0077030F">
        <w:rPr>
          <w:rStyle w:val="21"/>
          <w:color w:val="000000"/>
          <w:sz w:val="28"/>
          <w:szCs w:val="28"/>
          <w:vertAlign w:val="superscript"/>
        </w:rPr>
        <w:t>1</w:t>
      </w:r>
      <w:r w:rsidRPr="0077030F">
        <w:rPr>
          <w:rStyle w:val="21"/>
          <w:color w:val="000000"/>
          <w:sz w:val="28"/>
          <w:szCs w:val="28"/>
        </w:rPr>
        <w:t>.</w:t>
      </w:r>
    </w:p>
    <w:p w:rsidR="00396584" w:rsidRPr="00084244" w:rsidRDefault="00396584" w:rsidP="00CE59E7">
      <w:r w:rsidRPr="00084244">
        <w:t>Статья 6 Федерального Закона «О банковской деятельности» от 03.02.1996 № 17-ФЗ (в ред. от 03.06.2009 г.) определяет, что «в соответствии с лицензией Банка России на осуществление банковских операций банк вправе осуществлять выпуск, покупку, продажу, учет, хранение и иные операции с ценными бумагами, выполняющими функции платежного документа, с ценными бумагами, подтверждающими привлечение денежных средств во вклады и на банковские счета, с иными ценными бумагами, осуществление операций с которыми не требует получения специальной лицензии в соответствии с федеральными законами, а также вправе осуществлять доверительное управление указанными ценными бумагами по договору с физическими и юридическими лицами»</w:t>
      </w:r>
      <w:r>
        <w:rPr>
          <w:rStyle w:val="a7"/>
        </w:rPr>
        <w:footnoteReference w:id="10"/>
      </w:r>
      <w:r w:rsidRPr="00084244">
        <w:t>.</w:t>
      </w:r>
    </w:p>
    <w:p w:rsidR="00396584" w:rsidRPr="00084244" w:rsidRDefault="00396584" w:rsidP="00396584">
      <w:r w:rsidRPr="00084244">
        <w:t>Это еще раз подтверждает, что в России нет разделения на коммерческие и инвестиционные банки, как в США, и наше банковское законодательство более приближенно к европейскому. Справедливости ради необходимо отметить, что и в США в последние годы активно идут процессы сближения деятельности коммерческих и инвестиционных банков как в сфере регулирования профессиональной деятельности, так и при работе на рынке.</w:t>
      </w:r>
    </w:p>
    <w:p w:rsidR="00396584" w:rsidRPr="00084244" w:rsidRDefault="00396584" w:rsidP="00396584">
      <w:r w:rsidRPr="00084244">
        <w:t>Основными регуляторами деятельности банков на рынке ценных бумаг являются Банк России и Федеральная служба финансовых рынков - ФСФР. До 1998 года коммерческие банки получали лицензию на право работать с ценными бумагами в качестве профессионального участника в Центральном банке Российской Федерации</w:t>
      </w:r>
      <w:r>
        <w:rPr>
          <w:rStyle w:val="a7"/>
        </w:rPr>
        <w:footnoteReference w:id="11"/>
      </w:r>
      <w:r w:rsidRPr="00084244">
        <w:t>.</w:t>
      </w:r>
    </w:p>
    <w:p w:rsidR="00396584" w:rsidRPr="00084244" w:rsidRDefault="00396584" w:rsidP="00396584">
      <w:r w:rsidRPr="00084244">
        <w:t>После 1998 года лицензирование коммерческих банков в части деятельности на рынке ценных бумаг в качестве профессионального участника полностью осуществляется ФСФР (преемница ФКЦБ). Лицензирование происходит на общих для всех участников рынка основаниях. Требования, предъявляемые к коммерческим банкам при получении лицензии профессионального участника рынка ценных бумаг, формируют как Центральный банк РФ, в части, касающейся предоставленных ему полномочий, так и ФСФР. Необходимо подчеркнуть, что для полноценной конкурентоспособной деятельности коммерческие банки вынуждены обращаться за лицензиями к разным регуляторам: лицензию на ведение операций на рынке ценных бумаг выдает ФСФР, а лицензии на осуществление традиционных видов деятельности выдает Банк России. Это вызывает некоторые трудности при организации повседневной деятельности коммерческих банков</w:t>
      </w:r>
      <w:r>
        <w:rPr>
          <w:rStyle w:val="a7"/>
        </w:rPr>
        <w:footnoteReference w:id="12"/>
      </w:r>
      <w:r w:rsidRPr="00084244">
        <w:t>.</w:t>
      </w:r>
    </w:p>
    <w:p w:rsidR="00396584" w:rsidRPr="00084244" w:rsidRDefault="00396584" w:rsidP="00396584">
      <w:r w:rsidRPr="00084244">
        <w:t>В настоящее время в России около 1000 коммерческих банков, многие из них имеют лицензии профессиональных участников рынка ценных бумаг, исключение лишь составляют банки, у которых отзывалась лицензия на осуществление тех или иных операций или банки, которые открылись совсем недавно. Но не все банки являются активными участниками рынка ценных бумаг. Например, банки, которые сделавшие акцент в своей деятельности на развитие ритейла и, в частности, на потребительское кредитование, достаточно редко оперируют ценными бумагами. У них другая стратегия, и «фокус-аудитория», но, тем не менее, и эта категория кредитных учреждений прибегает к использованию ценных бумаг.</w:t>
      </w:r>
    </w:p>
    <w:p w:rsidR="00396584" w:rsidRPr="00084244" w:rsidRDefault="00396584" w:rsidP="00396584">
      <w:r w:rsidRPr="00084244">
        <w:t>Наиболее популярной торговой площадкой, на которой коммерческие банки проводят операции с ценными бумагами, является Московская межбанковская валютная биржа - ММВБ.</w:t>
      </w:r>
    </w:p>
    <w:p w:rsidR="00396584" w:rsidRPr="00084244" w:rsidRDefault="00396584" w:rsidP="00396584">
      <w:r w:rsidRPr="00084244">
        <w:t>В основном коммерческие банки работают с корпоративными облигациями и государственными ценными бумагами, реже с акциями и еще реже с производными инструментами. Коммерческие банки могут заниматься почти всеми видами деятельности, которые предусмотрены действующем законодательством о рынке ценных бумаг, а именно</w:t>
      </w:r>
      <w:r>
        <w:rPr>
          <w:rStyle w:val="a7"/>
        </w:rPr>
        <w:footnoteReference w:id="13"/>
      </w:r>
      <w:r w:rsidRPr="00084244">
        <w:t>:</w:t>
      </w:r>
    </w:p>
    <w:p w:rsidR="00396584" w:rsidRPr="00084244" w:rsidRDefault="00396584" w:rsidP="00396584">
      <w:r w:rsidRPr="00084244">
        <w:t>Брокерская деятельность, включая операции с физическими лицами на основании договоров комиссии и поручения;</w:t>
      </w:r>
    </w:p>
    <w:p w:rsidR="00396584" w:rsidRPr="00084244" w:rsidRDefault="00396584" w:rsidP="00396584">
      <w:pPr>
        <w:pStyle w:val="a4"/>
        <w:numPr>
          <w:ilvl w:val="0"/>
          <w:numId w:val="17"/>
        </w:numPr>
        <w:ind w:left="0" w:firstLine="567"/>
      </w:pPr>
      <w:r w:rsidRPr="00084244">
        <w:t>дилерская деятельность - открытие котировок за собственный счет;</w:t>
      </w:r>
    </w:p>
    <w:p w:rsidR="00396584" w:rsidRPr="00084244" w:rsidRDefault="00396584" w:rsidP="00396584">
      <w:pPr>
        <w:pStyle w:val="a4"/>
        <w:numPr>
          <w:ilvl w:val="0"/>
          <w:numId w:val="17"/>
        </w:numPr>
        <w:ind w:left="0" w:firstLine="567"/>
      </w:pPr>
      <w:r w:rsidRPr="00084244">
        <w:t>деятельность в качестве финансового консультанта, включающая андеррайтинг - обслуживание выпусков ценных бумаг, полный или частичный выкуп эмиссии, или гарантирование выкупа эмиссии; обслуживание сделок слияния и поглощения и др.;</w:t>
      </w:r>
    </w:p>
    <w:p w:rsidR="00396584" w:rsidRPr="00084244" w:rsidRDefault="00396584" w:rsidP="00396584">
      <w:pPr>
        <w:pStyle w:val="a4"/>
        <w:numPr>
          <w:ilvl w:val="0"/>
          <w:numId w:val="17"/>
        </w:numPr>
        <w:ind w:left="0" w:firstLine="567"/>
      </w:pPr>
      <w:r w:rsidRPr="00084244">
        <w:t>депозитарная деятельность;</w:t>
      </w:r>
    </w:p>
    <w:p w:rsidR="00396584" w:rsidRPr="00084244" w:rsidRDefault="00396584" w:rsidP="00396584">
      <w:pPr>
        <w:pStyle w:val="a4"/>
        <w:numPr>
          <w:ilvl w:val="0"/>
          <w:numId w:val="17"/>
        </w:numPr>
        <w:ind w:left="0" w:firstLine="567"/>
      </w:pPr>
      <w:r w:rsidRPr="00084244">
        <w:t>деятельности по управлению ценными бумагами - доверительное управление, персональное управление.</w:t>
      </w:r>
    </w:p>
    <w:p w:rsidR="00396584" w:rsidRPr="00084244" w:rsidRDefault="00396584" w:rsidP="00396584">
      <w:r w:rsidRPr="00084244">
        <w:t>Коммерческие банки, работая на рынке ценных бумаг, могут привлекать капитал, получать прибыль, поддерживать ликвидность, улучшать качество обеспечения. У банков существуют свободные ресурсы и поэтому они являются достаточно крупными игроками на рынке ценных бумаг. Банки могут работать и как инвесторы и как финансовые посредники, организовывать выпуски ценных бумаг для своих клиентов и размещать их на рынке (в том числе международном). Также банки могут размещать и собственные ценные бумаги для привлечения финансирования</w:t>
      </w:r>
      <w:r>
        <w:rPr>
          <w:rStyle w:val="a7"/>
        </w:rPr>
        <w:footnoteReference w:id="14"/>
      </w:r>
      <w:r w:rsidRPr="00084244">
        <w:t>.</w:t>
      </w:r>
    </w:p>
    <w:p w:rsidR="00396584" w:rsidRPr="00084244" w:rsidRDefault="00396584" w:rsidP="00396584">
      <w:r w:rsidRPr="00084244">
        <w:t>В коммерческом банке существует ряд, структурных подразделений, постоянно работающих с ценными бумагами. Вместе с тем, у каждого из этих подразделений есть соответствующие особенности в работе, которые обусловлены различными функциями, выполняемыми подразделениями банка.</w:t>
      </w:r>
    </w:p>
    <w:p w:rsidR="00396584" w:rsidRPr="00084244" w:rsidRDefault="00396584" w:rsidP="00396584">
      <w:r w:rsidRPr="00084244">
        <w:t>Во всех банках существуют управления/департаменты управления рисками. Эти структурные подразделения появились в российских финансовых институтах сравнительно недавно и в значительной степени их позиционирование в бизнес-процессах коммерческих банков находится в развитии. Наиболее тесно они сотрудничают с теми подразделениями банков, которые занимаются активными операциями, то есть казначейством, инвестиционным департаментом и управлением/департаментом кредитования. Схему взаимодействия между этими подразделениями можно представить следующим образом.</w:t>
      </w:r>
    </w:p>
    <w:p w:rsidR="00396584" w:rsidRPr="00084244" w:rsidRDefault="00396584" w:rsidP="00396584">
      <w:r w:rsidRPr="00084244">
        <w:t>До начала проведения операции с долговыми инструментами риск-менеджеры по инициативе казначейства определяют объемы финансовых ресурсов, которые могут быть использованы. При этом во внимание принимаются такие факторы как сроки проведения операций, имеющаяся практика работы с контрагентом по сделке, тип сделки, стоимость используемых ресурсов, условия расчетов по сделкам, порядок проведения транзакции (перемещения активов) в соответствии с условиями сделки и многое другое.</w:t>
      </w:r>
    </w:p>
    <w:p w:rsidR="00396584" w:rsidRPr="00084244" w:rsidRDefault="00396584" w:rsidP="009B0A1F">
      <w:r w:rsidRPr="00084244">
        <w:t>В процессе формирования собственной позиции банка ценные бумаги учитываются на его балансе, что требует привлечения сотрудников управления рисками к оценке риска и соответственно формированию предложений относительно величины «открытых» лимитов</w:t>
      </w:r>
      <w:r>
        <w:rPr>
          <w:rStyle w:val="a7"/>
        </w:rPr>
        <w:footnoteReference w:id="15"/>
      </w:r>
      <w:r w:rsidRPr="00084244">
        <w:t>.</w:t>
      </w:r>
    </w:p>
    <w:p w:rsidR="00396584" w:rsidRPr="000D42F7" w:rsidRDefault="00396584" w:rsidP="009B0A1F">
      <w:r w:rsidRPr="00084244">
        <w:t>Современная практика работы с крупными клиентами даже в качестве брокера требует аккумуляции пакета ценных бумаг для более качественной и эффективной работы. В этом случае банку приходится учитывать на собственном балансе достаточно крупные пакеты ценных бумаг до момента продажи их клиенту (например, хеджевому фонду). В подобной ситуации банк временно принимает риски, связанные с аккумулируемыми ценными бумагами на себя. Последствия подобных сделок требуют обязательной оценки со стороны риск-менеджеров, и, до начала работы, управление/департамент рисков оценивает риски связанные с подобными операциями и выдает свое заключение, например, открывает лимит на покупку долговых инструментов на определенную сумму. Анализ проводится как технический, так и фундаментальный, также учитываются иные факторы риска.</w:t>
      </w:r>
      <w:r>
        <w:br w:type="page"/>
      </w:r>
      <w:bookmarkStart w:id="13" w:name="_Toc418783228"/>
      <w:bookmarkStart w:id="14" w:name="_Toc418797085"/>
      <w:bookmarkStart w:id="15" w:name="_Toc418797608"/>
      <w:r w:rsidRPr="00CE59E7">
        <w:rPr>
          <w:rStyle w:val="10"/>
          <w:rFonts w:eastAsia="Arial Unicode MS"/>
        </w:rPr>
        <w:t>Глава 2. Эмиссия ценных бумаг и выпуск векселей коммерческим банком</w:t>
      </w:r>
      <w:bookmarkEnd w:id="13"/>
      <w:bookmarkEnd w:id="14"/>
      <w:bookmarkEnd w:id="15"/>
    </w:p>
    <w:p w:rsidR="00396584" w:rsidRPr="005B67EB" w:rsidRDefault="00396584" w:rsidP="00396584">
      <w:pPr>
        <w:pStyle w:val="2"/>
      </w:pPr>
      <w:bookmarkStart w:id="16" w:name="_Toc418783229"/>
      <w:bookmarkStart w:id="17" w:name="_Toc418797086"/>
      <w:bookmarkStart w:id="18" w:name="_Toc418797609"/>
      <w:r w:rsidRPr="000D42F7">
        <w:t xml:space="preserve">2.1. </w:t>
      </w:r>
      <w:r w:rsidRPr="005B67EB">
        <w:t>Эмиссия ценных бумаг коммерческим банком</w:t>
      </w:r>
      <w:bookmarkEnd w:id="16"/>
      <w:bookmarkEnd w:id="17"/>
      <w:bookmarkEnd w:id="18"/>
    </w:p>
    <w:p w:rsidR="00396584" w:rsidRPr="005B67EB" w:rsidRDefault="00396584" w:rsidP="00396584">
      <w:r w:rsidRPr="005B67EB">
        <w:t>На основе эмиссии акций и облигаций формируется собственный заемный капитал банка.</w:t>
      </w:r>
    </w:p>
    <w:p w:rsidR="00396584" w:rsidRPr="005B67EB" w:rsidRDefault="00396584" w:rsidP="00396584">
      <w:pPr>
        <w:pStyle w:val="ae"/>
      </w:pPr>
      <w:r w:rsidRPr="005B67EB">
        <w:t>Среди акций банков наибольшее распространение имеют обыкновенные акции. Привилегированные акции выпускаются довольно редко, объем их эмиссии ограничен 25% уставного фонда банка.</w:t>
      </w:r>
      <w:r w:rsidRPr="005B67EB">
        <w:rPr>
          <w:rStyle w:val="a7"/>
        </w:rPr>
        <w:footnoteReference w:id="16"/>
      </w:r>
    </w:p>
    <w:p w:rsidR="00396584" w:rsidRPr="005B67EB" w:rsidRDefault="00396584" w:rsidP="00396584">
      <w:r w:rsidRPr="005B67EB">
        <w:t>Банковские облигации в России пользуются еще меньшей популярностью, чем привилегированные акции, хотя в мировой практике облигации банков занимают значительное место на финансовом рынке. Например, в Германии банки выпускают наибольшее число облигаций, значительная часть которых обеспечивается залогом или государственными гарантиями.</w:t>
      </w:r>
    </w:p>
    <w:p w:rsidR="00396584" w:rsidRPr="005B67EB" w:rsidRDefault="00396584" w:rsidP="00396584">
      <w:r w:rsidRPr="005B67EB">
        <w:t>В России выпуск в обращение акций и облигаций регламентируется одними нормативными документами. Коммерческие банки, выпуская собственные акции и облигации, должны руководствоваться также новой редакцией Инструкции ЦБ РФ № 8 «О правилах выпуска и регистрации ценных бумаг коммерческими банками на территории Российской Федерации» от 17 сентября 1996 г.</w:t>
      </w:r>
      <w:r w:rsidRPr="005B67EB">
        <w:rPr>
          <w:rStyle w:val="a7"/>
        </w:rPr>
        <w:footnoteReference w:id="17"/>
      </w:r>
    </w:p>
    <w:p w:rsidR="00396584" w:rsidRPr="005B67EB" w:rsidRDefault="00396584" w:rsidP="00396584">
      <w:r w:rsidRPr="005B67EB">
        <w:t>Действующими нормативными документами предусматривается, что при учреждении акционерного банка, а также при преобразовании банка из паевого в акционерный все акции первого выпуска распределяются среди учредителей банка, т.е. допускается только закрытое распределение акций первого выпуска. Другими словами, в момент учреждения банка не должно быть акций, предполагаемых к размещению путем открытой продажи.</w:t>
      </w:r>
    </w:p>
    <w:p w:rsidR="00396584" w:rsidRPr="005B67EB" w:rsidRDefault="00396584" w:rsidP="00396584">
      <w:r w:rsidRPr="005B67EB">
        <w:t>В случае, когда одновременно с преобразованием банка из паевого в акционерный, увеличивается уставный фонд, его рост может происходить исключительно за счет дополнительных взносов учредителей. Если уставный фонд банка увеличивается за счет капитализации других его фондов, то вся сумма увеличения распределяется</w:t>
      </w:r>
      <w:r>
        <w:t xml:space="preserve"> </w:t>
      </w:r>
      <w:r w:rsidRPr="005B67EB">
        <w:t>между учредителями банка.</w:t>
      </w:r>
    </w:p>
    <w:p w:rsidR="00396584" w:rsidRPr="005B67EB" w:rsidRDefault="00396584" w:rsidP="00396584">
      <w:r w:rsidRPr="005B67EB">
        <w:t>Первый выпуск акций банка должен полностью состоять из обыкновенных именных акций. Регистрация и продажа банком-эмитентом этих акций освобождается от обложения налогом на операции с ценными бумагами.</w:t>
      </w:r>
    </w:p>
    <w:p w:rsidR="00396584" w:rsidRPr="005B67EB" w:rsidRDefault="00396584" w:rsidP="00396584">
      <w:r w:rsidRPr="005B67EB">
        <w:t>Повторный выпуск акций с целью увеличения уставного фонда (капитала) акционерного банка разрешается лишь после полной оплаты акционерами всех ранее выпущенных акций. Он может содержать как обыкновенные, так и привилегированные акции.</w:t>
      </w:r>
    </w:p>
    <w:p w:rsidR="00396584" w:rsidRPr="005B67EB" w:rsidRDefault="00396584" w:rsidP="00396584">
      <w:r w:rsidRPr="005B67EB">
        <w:t>Размещение акций повторного выпуска может осуществляться путем подписки (открытой или закрытой), путем распределения среди акционеров общества и путем конвертации. Регистрация дополнительного выпуска акций должна по общему правилу сопровождаться регистрацией проспекта эмиссии.</w:t>
      </w:r>
    </w:p>
    <w:p w:rsidR="00396584" w:rsidRPr="005B67EB" w:rsidRDefault="00E429C1" w:rsidP="00396584">
      <w:r>
        <w:t>Подробно об</w:t>
      </w:r>
      <w:r w:rsidR="00396584" w:rsidRPr="005B67EB">
        <w:t xml:space="preserve"> этап</w:t>
      </w:r>
      <w:r>
        <w:t>ах</w:t>
      </w:r>
      <w:r w:rsidR="00396584" w:rsidRPr="005B67EB">
        <w:t xml:space="preserve"> эмиссии ценных бумаг.</w:t>
      </w:r>
      <w:r w:rsidR="00396584" w:rsidRPr="005B67EB">
        <w:rPr>
          <w:rStyle w:val="a7"/>
        </w:rPr>
        <w:footnoteReference w:id="18"/>
      </w:r>
    </w:p>
    <w:p w:rsidR="00396584" w:rsidRPr="005B67EB" w:rsidRDefault="00396584" w:rsidP="00396584">
      <w:r w:rsidRPr="005B67EB">
        <w:rPr>
          <w:b/>
        </w:rPr>
        <w:t>Первый</w:t>
      </w:r>
      <w:r>
        <w:rPr>
          <w:b/>
        </w:rPr>
        <w:t xml:space="preserve"> </w:t>
      </w:r>
      <w:r w:rsidRPr="005B67EB">
        <w:rPr>
          <w:b/>
        </w:rPr>
        <w:t>этап</w:t>
      </w:r>
      <w:r w:rsidRPr="005B67EB">
        <w:t>. Решение</w:t>
      </w:r>
      <w:r>
        <w:t xml:space="preserve"> </w:t>
      </w:r>
      <w:r w:rsidRPr="005B67EB">
        <w:t>о выпуске ценных бумаг принимается либо общим собранием акционеров, либо Наблюдательным советом банка. Чтобы получить право выпускать ценные бумаги, банк должен: быть безубыточным в течении последних трех завершенных финансовых лет (или с момента образования, если этот срок меньше трех лет); не подвергаться санкциям со стороны государственных органов за нарушение действующего законодательства в течении трех лет (или с момента образования); не иметь просроченной задолженности кредиторам и по платежам в бюджет. Данные, подтверждающие соответствие банка этим требованиям, содержаться в проспекте эмиссии.</w:t>
      </w:r>
    </w:p>
    <w:p w:rsidR="00396584" w:rsidRPr="005B67EB" w:rsidRDefault="00396584" w:rsidP="00396584">
      <w:r w:rsidRPr="005B67EB">
        <w:rPr>
          <w:b/>
        </w:rPr>
        <w:t>Второй этап.</w:t>
      </w:r>
      <w:r w:rsidRPr="005B67EB">
        <w:t xml:space="preserve"> Проспект эмиссии подготавливается Правлением банка и подписывается его председателем и главным бухгалтером. Для первого выпуска акций впервые учреждаемого банка проспект эмиссии подготавливается его учредителями и подписывается членами назначенного учредителями органа по организации банка. В проспекте эмиссии содержаться данные о банке, о его финансовом положении и сведения о предстоящем выпуске ценных бумаг (общие данные о ценных бумагах, условия и порядок их распространения, данные о ценовых и расчетных условиях выпуска ценных бумаг, данные о получении доходов по ценным бумагам). При первом выпуске акций в случае преобразования банка из паевого в акционерный, а также при повторном выпуске акций и выпуске облигаций всеми банками проспект эмиссии должен быть заверен независимой аудиторской фирмой.</w:t>
      </w:r>
    </w:p>
    <w:p w:rsidR="00396584" w:rsidRPr="005B67EB" w:rsidRDefault="00396584" w:rsidP="00396584">
      <w:r w:rsidRPr="005B67EB">
        <w:rPr>
          <w:b/>
        </w:rPr>
        <w:t>Третий этап.</w:t>
      </w:r>
      <w:r w:rsidRPr="005B67EB">
        <w:t xml:space="preserve"> Для регистрации выпуска ценных бумаг банк-эмитент представляет в Департамент контроля за деятельностью кредитных организаций на финансовых рынках Банка России или в территориальное учреждение Банка России по месту своего нахождения следующие документы:</w:t>
      </w:r>
      <w:r w:rsidRPr="005B67EB">
        <w:rPr>
          <w:rStyle w:val="a7"/>
        </w:rPr>
        <w:footnoteReference w:id="19"/>
      </w:r>
    </w:p>
    <w:p w:rsidR="00396584" w:rsidRPr="005B67EB" w:rsidRDefault="00396584" w:rsidP="009B0A1F">
      <w:pPr>
        <w:numPr>
          <w:ilvl w:val="0"/>
          <w:numId w:val="29"/>
        </w:numPr>
        <w:ind w:left="1276" w:hanging="709"/>
      </w:pPr>
      <w:r w:rsidRPr="005B67EB">
        <w:t>заявление на регистрацию;</w:t>
      </w:r>
    </w:p>
    <w:p w:rsidR="00396584" w:rsidRPr="005B67EB" w:rsidRDefault="00396584" w:rsidP="009B0A1F">
      <w:pPr>
        <w:numPr>
          <w:ilvl w:val="0"/>
          <w:numId w:val="29"/>
        </w:numPr>
        <w:ind w:left="1276" w:hanging="709"/>
        <w:rPr>
          <w:b/>
        </w:rPr>
      </w:pPr>
      <w:r w:rsidRPr="005B67EB">
        <w:t>выписка из протокола собрания акционеров или Совета, на котором было принято решение о выпуске ценных бумаг;</w:t>
      </w:r>
    </w:p>
    <w:p w:rsidR="00396584" w:rsidRPr="005B67EB" w:rsidRDefault="00396584" w:rsidP="009B0A1F">
      <w:pPr>
        <w:numPr>
          <w:ilvl w:val="0"/>
          <w:numId w:val="29"/>
        </w:numPr>
        <w:ind w:left="1276" w:hanging="709"/>
        <w:rPr>
          <w:b/>
        </w:rPr>
      </w:pPr>
      <w:r w:rsidRPr="005B67EB">
        <w:t>проспект эмиссии;</w:t>
      </w:r>
    </w:p>
    <w:p w:rsidR="00396584" w:rsidRPr="005B67EB" w:rsidRDefault="00396584" w:rsidP="009B0A1F">
      <w:pPr>
        <w:numPr>
          <w:ilvl w:val="0"/>
          <w:numId w:val="29"/>
        </w:numPr>
        <w:ind w:left="1276" w:hanging="709"/>
        <w:rPr>
          <w:b/>
        </w:rPr>
      </w:pPr>
      <w:r w:rsidRPr="005B67EB">
        <w:t>документ, подтверждающий согласование данного выпуска</w:t>
      </w:r>
    </w:p>
    <w:p w:rsidR="00396584" w:rsidRPr="005B67EB" w:rsidRDefault="00396584" w:rsidP="009B0A1F">
      <w:pPr>
        <w:numPr>
          <w:ilvl w:val="0"/>
          <w:numId w:val="29"/>
        </w:numPr>
        <w:ind w:left="1276" w:hanging="709"/>
        <w:rPr>
          <w:b/>
        </w:rPr>
      </w:pPr>
      <w:r w:rsidRPr="005B67EB">
        <w:t>с соответствующим учреждением Государственного комитета РФ по антимонопольной политике и поддержк</w:t>
      </w:r>
      <w:r>
        <w:t>е новых экономических структур</w:t>
      </w:r>
      <w:r w:rsidRPr="005B67EB">
        <w:t>;</w:t>
      </w:r>
    </w:p>
    <w:p w:rsidR="00396584" w:rsidRPr="005B67EB" w:rsidRDefault="00396584" w:rsidP="009B0A1F">
      <w:pPr>
        <w:numPr>
          <w:ilvl w:val="0"/>
          <w:numId w:val="29"/>
        </w:numPr>
        <w:ind w:left="1276" w:hanging="709"/>
      </w:pPr>
      <w:r w:rsidRPr="005B67EB">
        <w:t>копию платежного поручения об уплате налога на операции с ценными бумагами (за регистрацию проспекта эмиссии).</w:t>
      </w:r>
    </w:p>
    <w:p w:rsidR="00396584" w:rsidRPr="005B67EB" w:rsidRDefault="00396584" w:rsidP="00396584">
      <w:r w:rsidRPr="005B67EB">
        <w:t>Представленные банком документы рассматриваются регистрирующим органом на предмет соответствия действующему законодательству, банковским правилам и инструкциям.</w:t>
      </w:r>
    </w:p>
    <w:p w:rsidR="00396584" w:rsidRPr="005B67EB" w:rsidRDefault="00396584" w:rsidP="00396584">
      <w:r w:rsidRPr="005B67EB">
        <w:t>В момент государственной регистрации выпуска ценных бумаг им присваивается государственный регистрационный номер. Зарегистрированные документы и письмо о регистрации подписываются уполномоченным лицом, заверяются печатью регистрирующего органа и выдаются банку-эмитенту. Вместе с зарегистрированными документами банку передается письмо в адрес Расчетно-кассового центра ЦБ РФ по месту ведения основного корреспондентского счета об открытии ему специального накопительного счета для сбора средств, поступающих в оплату ценных бумаг.</w:t>
      </w:r>
    </w:p>
    <w:p w:rsidR="00396584" w:rsidRPr="005B67EB" w:rsidRDefault="00396584" w:rsidP="00396584">
      <w:r w:rsidRPr="005B67EB">
        <w:rPr>
          <w:b/>
        </w:rPr>
        <w:t>Четвертый этап.</w:t>
      </w:r>
      <w:r w:rsidRPr="005B67EB">
        <w:t xml:space="preserve"> Публикация проспекта эмиссии (в случае, если регистрация ценных бумаг сопровождалась регистрацией проспекта эмиссии) осуществляется банком-эмитентом путем издания ее проспекта в виде отдельной брошюры тиражом, достаточным для информирования всех потенциальных покупателей.</w:t>
      </w:r>
      <w:r>
        <w:t xml:space="preserve"> </w:t>
      </w:r>
      <w:r w:rsidRPr="005B67EB">
        <w:t>Одновременно банк сообщает через средства массовой информации о проводимом им выпуске ценных бумаг и приступает к их реализации.</w:t>
      </w:r>
    </w:p>
    <w:p w:rsidR="00396584" w:rsidRPr="005B67EB" w:rsidRDefault="00396584" w:rsidP="00396584">
      <w:r w:rsidRPr="005B67EB">
        <w:rPr>
          <w:b/>
        </w:rPr>
        <w:t>Пятый этап.</w:t>
      </w:r>
      <w:r w:rsidRPr="005B67EB">
        <w:t xml:space="preserve"> Размещение выпускаемых ценных бумаг начинается после регистрации и публикации проспекта эмиссии. Она может осуществляться различными способами.</w:t>
      </w:r>
    </w:p>
    <w:p w:rsidR="00396584" w:rsidRPr="005B67EB" w:rsidRDefault="00396584" w:rsidP="00396584">
      <w:r w:rsidRPr="005B67EB">
        <w:t>При продаже ценных бумаг банками оплата их может производиться либо наличными деньгами, либо в безналичном порядке. Если оплата происходит безналичным путем, покупатели переводят средства непосредственно на специальный накопительный счет коммерческого банка в Банке России, открываемый по месту ведения основного корреспондентского счета этого банка. Средства на накопительном счете блокируются до момента регистрации итогов выпуска. После регистрации итогов выпуска средства с накопительного счета перечисляются на основной корреспондентский счет. В случае не</w:t>
      </w:r>
      <w:r w:rsidR="00193DC1">
        <w:t xml:space="preserve"> </w:t>
      </w:r>
      <w:r w:rsidRPr="005B67EB">
        <w:t>регистрации итогов выпуска средства с накопительного счета возвращаются лицам, перечислившим средства на этот счет.</w:t>
      </w:r>
    </w:p>
    <w:p w:rsidR="00396584" w:rsidRPr="005B67EB" w:rsidRDefault="00396584" w:rsidP="00396584">
      <w:r w:rsidRPr="005B67EB">
        <w:t>Имущество, которое было представлено акционерами в натуральной форме в оплату акций, становится собственностью банка. Оно приходуется на баланс банка в оценке, определенной совместным решением учредителей банка и утвержденной общим собранием акционеров.</w:t>
      </w:r>
    </w:p>
    <w:p w:rsidR="00396584" w:rsidRPr="005B67EB" w:rsidRDefault="00396584" w:rsidP="00396584">
      <w:r w:rsidRPr="005B67EB">
        <w:t>Материальные ценности и нематериальные активы, внесенные инвесторами в оплату акций банка, до регистрации итогов выпуска не могут быть проданы банком-эмитентом или отчуждены другим способом.</w:t>
      </w:r>
    </w:p>
    <w:p w:rsidR="00396584" w:rsidRPr="005B67EB" w:rsidRDefault="00396584" w:rsidP="00396584">
      <w:r w:rsidRPr="005B67EB">
        <w:rPr>
          <w:b/>
        </w:rPr>
        <w:t>Шестой этап.</w:t>
      </w:r>
      <w:r w:rsidRPr="005B67EB">
        <w:t xml:space="preserve"> Публикация итогов выпуска ценных бумаг должна производиться банком-эмитентом в том же печатном органе, где было опубликовано сообщение о выпуске. Все реализованные акции, отчет об итогах </w:t>
      </w:r>
      <w:r w:rsidR="00193DC1" w:rsidRPr="005B67EB">
        <w:t>выпуска,</w:t>
      </w:r>
      <w:r w:rsidRPr="005B67EB">
        <w:t xml:space="preserve"> который зарегистрирован, должны быть полностью оплачены покупателями в течение одного года со дня регистрации выпуска. Доплата за акции, проводимая в течении года, приходуется банком в уставный фонд.</w:t>
      </w:r>
    </w:p>
    <w:p w:rsidR="00396584" w:rsidRPr="005B67EB" w:rsidRDefault="00396584" w:rsidP="00396584">
      <w:r w:rsidRPr="005B67EB">
        <w:t>Банки, регистрация выпуска ценных бумаг которых сопровождалась регистрацией проспекта эмиссии, ежегодно - в течение двух недель после проведения общего годового собрания акционеров - представляют в регистрирующий орган отчет, содержащий данные о банке, о его финансовом положении (включая сведения о санкциях, наложенных на банк), экономических нормативах, а также сведения о эмитированных</w:t>
      </w:r>
      <w:r>
        <w:t xml:space="preserve"> </w:t>
      </w:r>
      <w:r w:rsidRPr="005B67EB">
        <w:t xml:space="preserve">банком акциях и облигациях, информацию о других видах ценных бумаг, выпущенных банком (депозитных и сберегательных сертификатах, опционах и т.п.). </w:t>
      </w:r>
      <w:r w:rsidR="00754844" w:rsidRPr="005B67EB">
        <w:t>П</w:t>
      </w:r>
      <w:r w:rsidRPr="005B67EB">
        <w:t>ри первичном размещении акций банк-эмитент не имеет права приобретать их за свой счет (и на свой баланс), на вторичном же рынке банки могут выступать в качестве покупателей своих собственных акций, но в строго установленных законом случаях.</w:t>
      </w:r>
    </w:p>
    <w:p w:rsidR="00396584" w:rsidRDefault="00396584" w:rsidP="00396584">
      <w:r w:rsidRPr="005B67EB">
        <w:t>Многие акционерные банки с целью поддержания рыночного курса собственных акций проявляют высокую активность на вторичном рынке собственных акций. Известно, что рыночный курс акций отражает положение банка на рынке, его устойчивость и рентабельность. Падение курса служит сигналом наметившихся неблагоприятных тенденций в развитии данного банка и может спровоцировать не только сброс его акций акционерами, но и массовый отток вкладов из банка, что окажет на него пагубное воздействие. В случае снижения курса акций банки не непосредственно, а через инвестиционные компании активно скупают их на вторичном рынке. Операции с собственными акциями на вторичном рынке банки проводят не только ради нивелирования нежелательных тенденций в движении их курса, но и для того, чтобы спровоцировать его движение в нужном для банка направлении.</w:t>
      </w:r>
    </w:p>
    <w:p w:rsidR="00396584" w:rsidRDefault="00396584" w:rsidP="00396584">
      <w:pPr>
        <w:pStyle w:val="2"/>
      </w:pPr>
      <w:bookmarkStart w:id="19" w:name="_Toc418783230"/>
      <w:bookmarkStart w:id="20" w:name="_Toc418797087"/>
      <w:bookmarkStart w:id="21" w:name="_Toc418797610"/>
      <w:r>
        <w:t>2.2. Выпуск банками неэмиссионных бумаг</w:t>
      </w:r>
      <w:bookmarkEnd w:id="19"/>
      <w:bookmarkEnd w:id="20"/>
      <w:bookmarkEnd w:id="21"/>
    </w:p>
    <w:p w:rsidR="00396584" w:rsidRDefault="00396584" w:rsidP="00396584">
      <w:r w:rsidRPr="00CC2CE1">
        <w:t xml:space="preserve">Помимо эмиссионных </w:t>
      </w:r>
      <w:r>
        <w:t>банки вправе выпускать и неэмис</w:t>
      </w:r>
      <w:r w:rsidRPr="00CC2CE1">
        <w:t>сионные ценные бумаги. Н</w:t>
      </w:r>
      <w:r>
        <w:t>е отвечающие признакам эмиссионной ценной бумаги.</w:t>
      </w:r>
    </w:p>
    <w:p w:rsidR="00396584" w:rsidRPr="00CC2CE1" w:rsidRDefault="00396584" w:rsidP="00396584">
      <w:r w:rsidRPr="000D42F7">
        <w:rPr>
          <w:u w:val="single"/>
        </w:rPr>
        <w:t>Неэмиссионными ценными бумагами</w:t>
      </w:r>
      <w:r>
        <w:t xml:space="preserve"> явля</w:t>
      </w:r>
      <w:r w:rsidRPr="00CC2CE1">
        <w:t xml:space="preserve">ются сберегательные </w:t>
      </w:r>
      <w:r>
        <w:t>и</w:t>
      </w:r>
      <w:r w:rsidRPr="00CC2CE1">
        <w:t xml:space="preserve"> депозитные сертификаты, чеки, векселя и др. Рассмотрим порядок выпуска банками сберегательных и депозитных сертификатов.</w:t>
      </w:r>
    </w:p>
    <w:p w:rsidR="00396584" w:rsidRPr="00CC2CE1" w:rsidRDefault="00396584" w:rsidP="00396584">
      <w:r w:rsidRPr="00CC2CE1">
        <w:t>Кредитные организации могут выпускать сберегательные и депозитные сертификаты, правила выпуска и оформления ко</w:t>
      </w:r>
      <w:r w:rsidRPr="00CC2CE1">
        <w:softHyphen/>
        <w:t>торых устанавливаются в положении ЦБ РФ от 10 февр. 1992 г. № 14-3-201. Банк может выдавать сертификаты при следующих условиях</w:t>
      </w:r>
      <w:r w:rsidR="00866313">
        <w:rPr>
          <w:rStyle w:val="a7"/>
        </w:rPr>
        <w:footnoteReference w:id="20"/>
      </w:r>
      <w:r w:rsidRPr="00CC2CE1">
        <w:t>:</w:t>
      </w:r>
    </w:p>
    <w:p w:rsidR="00396584" w:rsidRPr="00CC2CE1" w:rsidRDefault="00396584" w:rsidP="009B0A1F">
      <w:pPr>
        <w:pStyle w:val="a4"/>
        <w:numPr>
          <w:ilvl w:val="0"/>
          <w:numId w:val="16"/>
        </w:numPr>
        <w:ind w:left="1134" w:hanging="567"/>
      </w:pPr>
      <w:r w:rsidRPr="00CC2CE1">
        <w:t>осуществления банковской деятельности не менее двух лет;</w:t>
      </w:r>
    </w:p>
    <w:p w:rsidR="00396584" w:rsidRPr="00CC2CE1" w:rsidRDefault="00396584" w:rsidP="009B0A1F">
      <w:pPr>
        <w:pStyle w:val="a4"/>
        <w:numPr>
          <w:ilvl w:val="0"/>
          <w:numId w:val="16"/>
        </w:numPr>
        <w:ind w:left="1134" w:hanging="567"/>
      </w:pPr>
      <w:r w:rsidRPr="00CC2CE1">
        <w:t xml:space="preserve">публикации годовой </w:t>
      </w:r>
      <w:r>
        <w:t>отчетности, подтвержденной ауди</w:t>
      </w:r>
      <w:r w:rsidRPr="00CC2CE1">
        <w:t>торской фирмой:</w:t>
      </w:r>
    </w:p>
    <w:p w:rsidR="00396584" w:rsidRDefault="00396584" w:rsidP="009B0A1F">
      <w:pPr>
        <w:pStyle w:val="a4"/>
        <w:numPr>
          <w:ilvl w:val="0"/>
          <w:numId w:val="16"/>
        </w:numPr>
        <w:ind w:left="1134" w:hanging="567"/>
      </w:pPr>
      <w:r w:rsidRPr="00CC2CE1">
        <w:t>соблюдения банковского за</w:t>
      </w:r>
      <w:r>
        <w:t>конодательства и нормативных актов Банка России:</w:t>
      </w:r>
    </w:p>
    <w:p w:rsidR="00396584" w:rsidRPr="00CC2CE1" w:rsidRDefault="00396584" w:rsidP="009B0A1F">
      <w:pPr>
        <w:pStyle w:val="a4"/>
        <w:numPr>
          <w:ilvl w:val="0"/>
          <w:numId w:val="16"/>
        </w:numPr>
        <w:ind w:left="1134" w:hanging="567"/>
      </w:pPr>
      <w:r w:rsidRPr="00CC2CE1">
        <w:t>выполнения обязательных экономических нормативов:</w:t>
      </w:r>
    </w:p>
    <w:p w:rsidR="00396584" w:rsidRPr="00CC2CE1" w:rsidRDefault="00396584" w:rsidP="009B0A1F">
      <w:pPr>
        <w:pStyle w:val="a4"/>
        <w:numPr>
          <w:ilvl w:val="0"/>
          <w:numId w:val="16"/>
        </w:numPr>
        <w:ind w:left="1134" w:hanging="567"/>
      </w:pPr>
      <w:r w:rsidRPr="00CC2CE1">
        <w:t>наличия резервного фонда в размере не менее 15% от фактически оплаченного капитала;</w:t>
      </w:r>
    </w:p>
    <w:p w:rsidR="00396584" w:rsidRPr="00CC2CE1" w:rsidRDefault="00396584" w:rsidP="009B0A1F">
      <w:pPr>
        <w:pStyle w:val="a4"/>
        <w:numPr>
          <w:ilvl w:val="0"/>
          <w:numId w:val="16"/>
        </w:numPr>
        <w:ind w:left="1134" w:hanging="567"/>
      </w:pPr>
      <w:r w:rsidRPr="00CC2CE1">
        <w:t>выполнения обязательных резервных требований.</w:t>
      </w:r>
    </w:p>
    <w:p w:rsidR="00396584" w:rsidRPr="00CC2CE1" w:rsidRDefault="00396584" w:rsidP="00396584">
      <w:r w:rsidRPr="00CC2CE1">
        <w:t>Сертификаты могут быть именными и на предъявителя, вы</w:t>
      </w:r>
      <w:r w:rsidRPr="00CC2CE1">
        <w:softHyphen/>
        <w:t xml:space="preserve">пускаться как в разовом порядке, так и сериями. Сертификат не может служить расчетным </w:t>
      </w:r>
      <w:r>
        <w:t>или</w:t>
      </w:r>
      <w:r w:rsidRPr="00CC2CE1">
        <w:t xml:space="preserve"> платежным средством. Сертификат может быть выпушен только в валюте Российской Фе</w:t>
      </w:r>
      <w:r>
        <w:t>дерации</w:t>
      </w:r>
      <w:r w:rsidRPr="00CC2CE1">
        <w:t>.</w:t>
      </w:r>
    </w:p>
    <w:p w:rsidR="00396584" w:rsidRPr="00CC2CE1" w:rsidRDefault="00396584" w:rsidP="00396584">
      <w:r w:rsidRPr="00CC2CE1">
        <w:t>Сертификаты должны быть срочными. В случае досрочного предъявления сертификата к оплате кредитной организацией выплачивается сумма вклада и проценты, выплачиваемые по вкладам до востребования, если условиями сертификата не установлен иной размер процентов. Если срок получения вклада просрочен, кредитная организация должна оплатить сумму вклада и проценты по первому требованию его владельца. З</w:t>
      </w:r>
      <w:r>
        <w:t>а период с даты востребования сумм по сертификату до даты фак</w:t>
      </w:r>
      <w:r w:rsidRPr="00CC2CE1">
        <w:t>тического предъявления се</w:t>
      </w:r>
      <w:r>
        <w:t>ртификата проценты не выплачива</w:t>
      </w:r>
      <w:r w:rsidRPr="00CC2CE1">
        <w:t>ются. Кредитная организация не может в одностороннем поряд</w:t>
      </w:r>
      <w:r w:rsidRPr="00CC2CE1">
        <w:softHyphen/>
        <w:t>ке изменить обусловленную в сертификате ставку процентов. Начисление процентов осуществляется не реже одного раза в месяц. Выплата процентов осуществляется одновременно с по</w:t>
      </w:r>
      <w:r w:rsidRPr="00CC2CE1">
        <w:softHyphen/>
        <w:t xml:space="preserve">гашением сертификата при его предъявлении. При наступлении даты востребования вклада или депозита кредитная организация осуществляет платеж против </w:t>
      </w:r>
      <w:r>
        <w:t>предъявления сертификата и заяв</w:t>
      </w:r>
      <w:r w:rsidRPr="00CC2CE1">
        <w:t>ления владельца с указанием счета, на который должны быть перечислены средства.</w:t>
      </w:r>
    </w:p>
    <w:p w:rsidR="00396584" w:rsidRPr="00CC2CE1" w:rsidRDefault="00396584" w:rsidP="00396584">
      <w:r w:rsidRPr="00CC2CE1">
        <w:t>Возможность размещения сертификат</w:t>
      </w:r>
      <w:r>
        <w:t>ов кредитной органи</w:t>
      </w:r>
      <w:r w:rsidRPr="00CC2CE1">
        <w:t>зацией может быть осуществлена только после регистрации условии выпуска и обращения сертификатов в территориальном учреждении Банка России Для регистрации условии выпуска кредитная организация представляет в регистрирующий орган: условия выпуска и обращения сертификатов: макет бланка сер</w:t>
      </w:r>
      <w:r w:rsidRPr="00CC2CE1">
        <w:softHyphen/>
        <w:t>тификатов; нотариально заверенную копию лицензии кредитной организации на осуществление банковских операций: свиде</w:t>
      </w:r>
      <w:r w:rsidRPr="00CC2CE1">
        <w:softHyphen/>
        <w:t>тельство о государственной регистрации кредитной организации (при выпуске сберегательных сертификатов); баланс и расчет обязательных экономически</w:t>
      </w:r>
      <w:r>
        <w:t>х нормативов на последнюю отчет</w:t>
      </w:r>
      <w:r w:rsidRPr="00CC2CE1">
        <w:t>ную дату перед принятием решения о выпуске сертификатов.</w:t>
      </w:r>
    </w:p>
    <w:p w:rsidR="00396584" w:rsidRPr="00CC2CE1" w:rsidRDefault="00396584" w:rsidP="00396584">
      <w:r w:rsidRPr="00CC2CE1">
        <w:t>Срок рассмотрения условий выпуска регистрирующим органом не должен превышать двух недель. С момента регистрации но</w:t>
      </w:r>
      <w:r w:rsidRPr="00CC2CE1">
        <w:softHyphen/>
        <w:t>вых условии выпуска сертификатов кредитная организация не вправе размешать сертификаты в соответствии с ранее зареги</w:t>
      </w:r>
      <w:r w:rsidRPr="00CC2CE1">
        <w:softHyphen/>
        <w:t>стрированными условиями выпуска.</w:t>
      </w:r>
    </w:p>
    <w:p w:rsidR="00396584" w:rsidRPr="00CC2CE1" w:rsidRDefault="00396584" w:rsidP="00396584">
      <w:r w:rsidRPr="00CC2CE1">
        <w:t>Выпуск банками сберег</w:t>
      </w:r>
      <w:r w:rsidR="00754844">
        <w:t>ательных и депозитных сертифика</w:t>
      </w:r>
      <w:r w:rsidRPr="00CC2CE1">
        <w:t xml:space="preserve">тов является условием осуществления операций по </w:t>
      </w:r>
      <w:r w:rsidR="00754844">
        <w:t>привлече</w:t>
      </w:r>
      <w:r w:rsidRPr="00CC2CE1">
        <w:t>нию во вклады денежных средств физических и юридических лип и полностью регламентирован нормативным актом Банка России.</w:t>
      </w:r>
    </w:p>
    <w:p w:rsidR="00396584" w:rsidRPr="00396584" w:rsidRDefault="00396584" w:rsidP="00396584">
      <w:pPr>
        <w:pStyle w:val="2"/>
      </w:pPr>
      <w:bookmarkStart w:id="22" w:name="_Toc418783231"/>
      <w:bookmarkStart w:id="23" w:name="_Toc418797088"/>
      <w:bookmarkStart w:id="24" w:name="_Toc418797611"/>
      <w:r w:rsidRPr="00396584">
        <w:t>2.2. Выпуск банками векселей</w:t>
      </w:r>
      <w:bookmarkEnd w:id="22"/>
      <w:bookmarkEnd w:id="23"/>
      <w:bookmarkEnd w:id="24"/>
    </w:p>
    <w:p w:rsidR="00396584" w:rsidRPr="005B67EB" w:rsidRDefault="00396584" w:rsidP="00396584">
      <w:pPr>
        <w:pStyle w:val="ae"/>
      </w:pPr>
      <w:r w:rsidRPr="005B67EB">
        <w:t>Российские коммерческие банки активно осваивают выпуск собственных</w:t>
      </w:r>
      <w:r>
        <w:t xml:space="preserve"> </w:t>
      </w:r>
      <w:r w:rsidRPr="005B67EB">
        <w:t>векселей как краткосрочных долговых обязательств. Впервые банковские векселя появились в августе 1992 г. Более широкое распространение они получили с начала 1993г.</w:t>
      </w:r>
      <w:r w:rsidRPr="005B67EB">
        <w:rPr>
          <w:rStyle w:val="a7"/>
        </w:rPr>
        <w:footnoteReference w:id="21"/>
      </w:r>
    </w:p>
    <w:p w:rsidR="00396584" w:rsidRPr="005B67EB" w:rsidRDefault="00396584" w:rsidP="00396584">
      <w:r w:rsidRPr="005B67EB">
        <w:t>Действующее российское вексельное законодательство не предусматривает для случаев выпуска векселей банками каких-либо особых правил или исключений. Законодательство по ценным бумагам этого вопроса также не затрагивает. Поэтому правовой режим выпуска и обращения банковских векселей аналогичен</w:t>
      </w:r>
      <w:r>
        <w:t xml:space="preserve"> </w:t>
      </w:r>
      <w:r w:rsidRPr="005B67EB">
        <w:t>режиму всех векселей и устанавливается Положением о переводном и простом векселе (1937 г.)</w:t>
      </w:r>
    </w:p>
    <w:p w:rsidR="00396584" w:rsidRPr="005B67EB" w:rsidRDefault="00396584" w:rsidP="00396584">
      <w:r w:rsidRPr="005B67EB">
        <w:t>Банковский вексель имеет в своей основе депозитную природу в отличии от кредитной по классическим векселям, представляющим собой орудие коммерческого кредита, обусловленного реальными потребностями торгово-промышленного оборота. Его цель - содействие реализации товаров с отсрочкой платежа. Банковский же вексель выписывается</w:t>
      </w:r>
      <w:r>
        <w:t xml:space="preserve"> </w:t>
      </w:r>
      <w:r w:rsidRPr="005B67EB">
        <w:t>банком-эмитентом на основании депонирования клиентом в банке определенной суммы средств. Таким образом, для банка этот вексель является инструментом привлечения дополнительных ресурсов, а для покупателя векселя - возможностью размещения временно свободных денежных средств с целью получения дохода.</w:t>
      </w:r>
    </w:p>
    <w:p w:rsidR="00396584" w:rsidRPr="005B67EB" w:rsidRDefault="00396584" w:rsidP="00396584">
      <w:r w:rsidRPr="005B67EB">
        <w:t>По экономической природе банковские векселя близки к депозитным сертификатам, но правовой режим совпадает с общим режимом всех иных эмитентов векселей.</w:t>
      </w:r>
    </w:p>
    <w:p w:rsidR="00396584" w:rsidRPr="005B67EB" w:rsidRDefault="00396584" w:rsidP="00396584">
      <w:r w:rsidRPr="005B67EB">
        <w:t>Эмиссия векселей не связывается ни с оплатой уставного капитала банка, ни с его финансовым положением, ни с отсутствием взысканий и санкций, но в связи с тем. Что собственные векселя приравниваются к привлеченным средствам, они включаются в расчет собственных резервов. Существуют некоторые ограничения относительно порядка размещения и обращения банковских векселей(запрещается продажа последних физическим лицам; запрещается реклама банковских векселей, поскольку это есть форма долгового обязательства).</w:t>
      </w:r>
    </w:p>
    <w:p w:rsidR="00396584" w:rsidRPr="005B67EB" w:rsidRDefault="00396584" w:rsidP="00396584">
      <w:r w:rsidRPr="005B67EB">
        <w:t>В настоящее время от коммерческих банков не требуется регистрации выпуска векселей или утверждения условий их выпуска. Действующие правила предполагают только извещение Главного территориального управления ЦБ РФ о выпуске банком векселей. В то же время, действующее вексельное законодательство допускает для эмитентов возможность самостоятельно устанавливать правила выпуска и обращения своих векселей, не противоречащие этому законодательству, что делает векселя наиболее привлекательными для банков.</w:t>
      </w:r>
    </w:p>
    <w:p w:rsidR="00396584" w:rsidRPr="005B67EB" w:rsidRDefault="00396584" w:rsidP="00396584">
      <w:r w:rsidRPr="005B67EB">
        <w:t xml:space="preserve">Среди банковских векселей преобладают простые - </w:t>
      </w:r>
      <w:r w:rsidRPr="005B67EB">
        <w:rPr>
          <w:lang w:val="en-US"/>
        </w:rPr>
        <w:t>call</w:t>
      </w:r>
      <w:r w:rsidRPr="005B67EB">
        <w:t>-векселя, представляющие собой одностороннее, ничем не обусловленное обязательство банка заплатить обозначенному в векселе лицу либо его приказу или правопреемнику определенную денежную сумму в установленный срок. Однако некоторые банки практикуют выпуск переводных векселей, по которым плательщиками назначаются третьи лица - должники или гаранты банка. Часто плательщиком по переводному векселю банк назначает себя самого, т.е. по существу это тот же простой вексель, но выписанный в форме переводного. Возможен и такой вариант выписки банкам переводного векселя, при котором банк является получателем средств («платите приказу банка...»).</w:t>
      </w:r>
    </w:p>
    <w:p w:rsidR="00396584" w:rsidRPr="005B67EB" w:rsidRDefault="00396584" w:rsidP="00396584">
      <w:r w:rsidRPr="005B67EB">
        <w:t>Банки могут выпускать свои векселя как сериями, так и в разовом порядке. Привлекательность единичного векселя в том, что условия его выпуска и обращения можно определить с учетом интересов конкретного вкладчика. Серийному выпуску векселей банки отдают явное предпочтение, поскольку в этом случае обеспечивается привлечение большого количества инвесторов и значительного объема ресурсов.</w:t>
      </w:r>
    </w:p>
    <w:p w:rsidR="00396584" w:rsidRPr="005B67EB" w:rsidRDefault="00396584" w:rsidP="00396584">
      <w:r w:rsidRPr="005B67EB">
        <w:t>Банковский вексель - ордерная ценная бумага, и большинство банков сохраняют такую его сущность. Однако в ряде случаев при наличии определенных оговорок, допустим выпуск как именных векселей (путем внесения в них слов</w:t>
      </w:r>
      <w:r>
        <w:t xml:space="preserve"> </w:t>
      </w:r>
      <w:r w:rsidRPr="005B67EB">
        <w:t>«не приказу»), так и векселей на предъявителя (путем предъявления банковского или предъявительского индоссамента).</w:t>
      </w:r>
    </w:p>
    <w:p w:rsidR="00396584" w:rsidRPr="005B67EB" w:rsidRDefault="00396584" w:rsidP="00396584">
      <w:r w:rsidRPr="005B67EB">
        <w:t>Банк выбирает необходимый режим обращения векселя, исходя из тех задач, решение которых предполагается осуществить с помощью выпуска собственных векселей.</w:t>
      </w:r>
    </w:p>
    <w:p w:rsidR="00396584" w:rsidRPr="005B67EB" w:rsidRDefault="00396584" w:rsidP="00396584">
      <w:r w:rsidRPr="005B67EB">
        <w:t>Срок платежа по векселям устанавливается банком либо в одностороннем порядке (при серийном выпуске векселей), либо по согласованию с клиентом (при единичном выпуске). Банки в своей практике используют все известные варианты назначения сроков платежа:</w:t>
      </w:r>
      <w:r w:rsidRPr="005B67EB">
        <w:rPr>
          <w:rStyle w:val="a7"/>
        </w:rPr>
        <w:footnoteReference w:id="22"/>
      </w:r>
    </w:p>
    <w:p w:rsidR="00396584" w:rsidRPr="005B67EB" w:rsidRDefault="00396584" w:rsidP="00CE59E7">
      <w:pPr>
        <w:numPr>
          <w:ilvl w:val="0"/>
          <w:numId w:val="25"/>
        </w:numPr>
        <w:ind w:left="1134"/>
      </w:pPr>
      <w:r w:rsidRPr="005B67EB">
        <w:t>на определенную дату;</w:t>
      </w:r>
    </w:p>
    <w:p w:rsidR="00396584" w:rsidRPr="005B67EB" w:rsidRDefault="00396584" w:rsidP="00CE59E7">
      <w:pPr>
        <w:numPr>
          <w:ilvl w:val="0"/>
          <w:numId w:val="25"/>
        </w:numPr>
        <w:ind w:left="1134"/>
      </w:pPr>
      <w:r w:rsidRPr="005B67EB">
        <w:t>во столько-то времени от составления;</w:t>
      </w:r>
    </w:p>
    <w:p w:rsidR="00396584" w:rsidRPr="005B67EB" w:rsidRDefault="00396584" w:rsidP="00CE59E7">
      <w:pPr>
        <w:numPr>
          <w:ilvl w:val="0"/>
          <w:numId w:val="25"/>
        </w:numPr>
        <w:ind w:left="1134"/>
      </w:pPr>
      <w:r w:rsidRPr="005B67EB">
        <w:t>по предъявлении;</w:t>
      </w:r>
    </w:p>
    <w:p w:rsidR="00396584" w:rsidRPr="005B67EB" w:rsidRDefault="00396584" w:rsidP="00CE59E7">
      <w:pPr>
        <w:numPr>
          <w:ilvl w:val="0"/>
          <w:numId w:val="25"/>
        </w:numPr>
        <w:ind w:left="1134"/>
      </w:pPr>
      <w:r w:rsidRPr="005B67EB">
        <w:t>во столько-то времени от предъявления.</w:t>
      </w:r>
    </w:p>
    <w:p w:rsidR="00396584" w:rsidRPr="005B67EB" w:rsidRDefault="00396584" w:rsidP="00396584">
      <w:r w:rsidRPr="005B67EB">
        <w:t>В зависимости от способа назначения платежа в соответствии с действующим вексельным законодательством определяется и порядок вознаграждения. Если вексель выписан по предъявлении или во столько-то времени от предъявления, то в нем может быть указана процентная ставка, исходя из которой начисляется доход на основную сумму за время, прошедшее от даты выписки векселя до даты платежа.</w:t>
      </w:r>
    </w:p>
    <w:p w:rsidR="00396584" w:rsidRPr="005B67EB" w:rsidRDefault="00396584" w:rsidP="00396584">
      <w:r w:rsidRPr="005B67EB">
        <w:t>При таком способе определения дохода векселя банки продают векселя как правило по номиналу. При их выкупе банком кроме номинала владельцу векселя выплачивается доход, исчисляемый исходя из указанной в нем процентной ставки. Если вексель выписан сроком на определенную дату или во столько-то времени от выписки, то сумму процентов исчисляют заранее и присоединяют к основной сумме, формируя номинальную сумму векселя. В этом случае векселя при эмиссии продаются по цене ниже номинала, т.е. со скидкой-дисконтом.</w:t>
      </w:r>
    </w:p>
    <w:p w:rsidR="00396584" w:rsidRPr="005B67EB" w:rsidRDefault="00396584" w:rsidP="00396584">
      <w:r w:rsidRPr="005B67EB">
        <w:t>Первоначально банки стали выпускать большинство векселей с дисконтом. Доход покупателя в данном случае составляет разность между номиналом векселя и ценой его приобретения. Но в дальнейшем оказалось, что более удобным и выгодным как для них, так и для их клиентов являются процентные векселя. Привлекая средства путем выпуска векселей, коммерческие банки должны отчислять определенный процент от их суммы в Фонд обязательных резервов ЦБ РФ.</w:t>
      </w:r>
    </w:p>
    <w:p w:rsidR="00396584" w:rsidRPr="005B67EB" w:rsidRDefault="00396584" w:rsidP="00396584">
      <w:r w:rsidRPr="005B67EB">
        <w:t>Таким образом, выпуская процентный вексель, банк сразу получает в свое распоряжение сумму, эквивалентную номиналу векселя, от которой и осуществляется резервирование. При выпуске дисконтного векселя банк получает сумму меньше номинала, но обязан выполнять резервирование от полной суммы своего обязательства. Кроме того, согласно изменениям в налоговом законодательстве, доход по дисконтным векселям облагается налогом на прибыль по общей ставке - 35%, а на процентный доход по ценным бумагам (в данном случае - по векселю) распространяется льготная ставка налогообложения - 35%.</w:t>
      </w:r>
    </w:p>
    <w:p w:rsidR="00396584" w:rsidRPr="005B67EB" w:rsidRDefault="00396584" w:rsidP="00396584">
      <w:r w:rsidRPr="005B67EB">
        <w:t>В настоящее время на рынке наибольшей популярностью пользуются краткосрочные (до трех месяцев) банковские векселя. Инвесторов привлекает возможность досрочно продать (учесть) их в банке-эмитенте. Многие банки, эмитирующие векселя, не только берут на себя обязательство учитывать свои векселя до истечения их срока, но заранее объявляют котировки, т.е. курс скупки векселей у их держателей на определенные даты. Это резко повышает ликвидность банковских векселей.</w:t>
      </w:r>
    </w:p>
    <w:p w:rsidR="00396584" w:rsidRPr="005B67EB" w:rsidRDefault="00396584" w:rsidP="00396584">
      <w:r w:rsidRPr="005B67EB">
        <w:t>Многие банки при реализации своих векселей прибегают к услугам посредников, которые могут производить собственную котировку векселей. Посредники активно работают на вторичном рынке векселей, где, манипулируя ставками доходности и дисконта, получают достаточно высокие прибыли.</w:t>
      </w:r>
    </w:p>
    <w:p w:rsidR="00396584" w:rsidRPr="005B67EB" w:rsidRDefault="00396584" w:rsidP="00396584">
      <w:r w:rsidRPr="005B67EB">
        <w:t>Банковские векселя пользуются устойчивым спросом. В основе успеха вексельной формы привлечения свободных финансовых ресурсов лежит привлекательность банковского векселя как для эмитента, так и для инвестора. Банковские векселя восполняют недостаток краткосрочных высоколиквидных инструментов денежного рынка, потребность в которых растет в условиях инфляции.</w:t>
      </w:r>
    </w:p>
    <w:p w:rsidR="00396584" w:rsidRPr="005B67EB" w:rsidRDefault="00396584" w:rsidP="00396584">
      <w:r w:rsidRPr="005B67EB">
        <w:t>Преимущество банковских векселей заключается также и в том, что они, в отличие от депозитных сертификатов могут использоваться как платежное средство. Причем банки активно пытаются использовать эту особенность векселя выполнять функции средства обращения и платежа.</w:t>
      </w:r>
      <w:r>
        <w:t xml:space="preserve"> </w:t>
      </w:r>
      <w:r w:rsidRPr="005B67EB">
        <w:t>Разработаны многочисленные варианты организации расчетов между предприятиями с использованием банковских векселей, в том числе в рамках СНГ.</w:t>
      </w:r>
    </w:p>
    <w:p w:rsidR="00396584" w:rsidRPr="005B67EB" w:rsidRDefault="00396584" w:rsidP="00396584">
      <w:r w:rsidRPr="005B67EB">
        <w:t>В настоящее время предлагаются новые варианты взаиморасчетов между предприятиями с использованием банковских векселей. Они строятся на системе прямых корреспондентских отношений между банками и сводят в конечном итоге расчеты к простому клирингу. При этом достигается ускорение расчетов, снижаются их риски и потери клиентов от обесценивания денег во время расчетов.</w:t>
      </w:r>
    </w:p>
    <w:p w:rsidR="00396584" w:rsidRPr="005B67EB" w:rsidRDefault="00396584" w:rsidP="00396584">
      <w:pPr>
        <w:pStyle w:val="ae"/>
      </w:pPr>
      <w:r w:rsidRPr="005B67EB">
        <w:t>Рассматривая сегодняшний рынок банковских векселей, всех векселедателей можно условно разделить на две группы. С одной стороны многое банки выпускают чисто финансовые векселя, используя их как аналог депозитного займа по прибыли. С</w:t>
      </w:r>
      <w:r>
        <w:t xml:space="preserve"> </w:t>
      </w:r>
      <w:r w:rsidRPr="005B67EB">
        <w:t>другой стороны, существует уже сложившийся круг банков и финансовых организаций, которые используют векселя для совершения разнообразных торгово-финансовых операций. Так что, тот или иной банк, занимающийся вексельным обращением более-менее основательно, предлагает свой вексель не только как ценную бумагу, приносящую определенную прибыль, но и, например, как кредитно-расчетный инструмент. И совсем новая сфера работы банков на этом рынке - создание и поддержание расчетных вексельных схем для регионального бюджетного финансирования.</w:t>
      </w:r>
    </w:p>
    <w:p w:rsidR="00396584" w:rsidRPr="0014625B" w:rsidRDefault="00396584" w:rsidP="00396584">
      <w:pPr>
        <w:pStyle w:val="1"/>
      </w:pPr>
      <w:bookmarkStart w:id="25" w:name="_Toc416731638"/>
      <w:bookmarkStart w:id="26" w:name="_Toc418783232"/>
      <w:bookmarkStart w:id="27" w:name="_Toc418797089"/>
      <w:bookmarkStart w:id="28" w:name="_Toc418797612"/>
      <w:r w:rsidRPr="0014625B">
        <w:t xml:space="preserve">Глава </w:t>
      </w:r>
      <w:r w:rsidRPr="00CF177C">
        <w:t>3</w:t>
      </w:r>
      <w:r w:rsidRPr="0014625B">
        <w:t xml:space="preserve">. </w:t>
      </w:r>
      <w:r w:rsidRPr="00396584">
        <w:t>Проблемы</w:t>
      </w:r>
      <w:r w:rsidRPr="0014625B">
        <w:t xml:space="preserve"> правово</w:t>
      </w:r>
      <w:r>
        <w:t>го</w:t>
      </w:r>
      <w:r w:rsidRPr="0014625B">
        <w:t xml:space="preserve"> </w:t>
      </w:r>
      <w:r>
        <w:rPr>
          <w:lang w:eastAsia="en-US" w:bidi="en-US"/>
        </w:rPr>
        <w:t>регулирования</w:t>
      </w:r>
      <w:r w:rsidRPr="0014625B">
        <w:t xml:space="preserve"> банковских с</w:t>
      </w:r>
      <w:r>
        <w:t xml:space="preserve">делок с ценными </w:t>
      </w:r>
      <w:r w:rsidRPr="00396584">
        <w:t>бумагами</w:t>
      </w:r>
      <w:r>
        <w:t xml:space="preserve"> и пути их преодоления.</w:t>
      </w:r>
      <w:bookmarkEnd w:id="25"/>
      <w:bookmarkEnd w:id="26"/>
      <w:bookmarkEnd w:id="27"/>
      <w:bookmarkEnd w:id="28"/>
    </w:p>
    <w:p w:rsidR="00396584" w:rsidRDefault="00396584" w:rsidP="00396584">
      <w:r w:rsidRPr="00396584">
        <w:t>Проведение рыночных реформ в России невозможно без развития рынка ценных бумаг, который является механизмом, обеспечивающим функционирование</w:t>
      </w:r>
      <w:r w:rsidRPr="00B762A6">
        <w:t xml:space="preserve"> всех отраслей экономики путем инвестирования в их хозяйственную деятельность финансового капитала. Современный рынок ценных бумаг России динамично развивается, повышается его значение как одного из важнейших элементов макроэкономики страны, увеличивается объем сделок с ценными бумагами, растет количество иностранных инвесторов, приобретающих ценные бумаги российских компаний.</w:t>
      </w:r>
    </w:p>
    <w:p w:rsidR="00396584" w:rsidRDefault="00396584" w:rsidP="00396584">
      <w:pPr>
        <w:pStyle w:val="ab"/>
      </w:pPr>
      <w:r>
        <w:t>Вместе с тем, российский рынок ценных бумаг содержит целый комплекс проблем, негативно влияющих на его развитие. По словам руководителя Федеральной службы по финансовым рынкам РФ Олега Вьюгина, сегодня основными проблемами российского фондового рынка являются: отсутствие на российском фондовом рынке достаточного количества консервативных и долгосрочных инвесторов, как физических лиц, так и организаций; ограниченный интерес российских корпораций к размещениям своих акций на рынке, чтобы становиться публичными компаниями; низкий уровень развития инфраструктуры российского фондового рынка</w:t>
      </w:r>
      <w:r>
        <w:rPr>
          <w:rStyle w:val="a7"/>
        </w:rPr>
        <w:footnoteReference w:id="23"/>
      </w:r>
      <w:r>
        <w:t>. Нерешенность указанных проблем приводит к оттоку российских инвестиций за рубеж: по оценкам российских экономистов до 70 процентов операций с российскими акциями сегодня совершается в Лондоне</w:t>
      </w:r>
      <w:r>
        <w:rPr>
          <w:rStyle w:val="a7"/>
        </w:rPr>
        <w:footnoteReference w:id="24"/>
      </w:r>
      <w:r>
        <w:t>.</w:t>
      </w:r>
    </w:p>
    <w:p w:rsidR="00396584" w:rsidRDefault="00396584" w:rsidP="00396584">
      <w:pPr>
        <w:pStyle w:val="ab"/>
      </w:pPr>
      <w:r>
        <w:t>Одной из многих причин, порождающих указанные проблемы российского рынка ценных бумаг, является недостаточное развитие конкурентных отношений на фондовом рынке. Отсутствие комплексных мер по поддержке конкуренции, в том числе правового характера, ведет к монополизации фондового рынка, что снижает эффективность его функционирования, и, как следствие, эффективность экономической системы в целом.</w:t>
      </w:r>
    </w:p>
    <w:p w:rsidR="00396584" w:rsidRPr="003A1C71" w:rsidRDefault="00396584" w:rsidP="00396584">
      <w:pPr>
        <w:pStyle w:val="ab"/>
      </w:pPr>
      <w:r w:rsidRPr="003A1C71">
        <w:t xml:space="preserve">Монополизация современного российского фондового рынка отчетливо проявляется в сфере организации торговли на рынке ценных бумаг. В России на сегодняшний день существуют около 50 фондовых бирж, однако подавляющая часть сделок совершается на двух фондовых биржах страны - Московской межбанковской валютной бирже </w:t>
      </w:r>
      <w:r>
        <w:t>(ММВБ</w:t>
      </w:r>
      <w:r w:rsidRPr="003A1C71">
        <w:t xml:space="preserve">) и Российской торговой системе </w:t>
      </w:r>
      <w:r>
        <w:t>(РТС</w:t>
      </w:r>
      <w:r w:rsidRPr="003A1C71">
        <w:t>), которые фактически конкурируют только между собой. Остальные биржи, осуществляющие свою деятельность в регионах, действуют изолированно, как правило, лишь осуществляя доступ к торгам на ММВБ и PT</w:t>
      </w:r>
      <w:r w:rsidR="00754844">
        <w:t>C</w:t>
      </w:r>
      <w:r w:rsidRPr="003A1C71">
        <w:t>.</w:t>
      </w:r>
    </w:p>
    <w:p w:rsidR="00396584" w:rsidRPr="003A1C71" w:rsidRDefault="00396584" w:rsidP="00396584">
      <w:pPr>
        <w:pStyle w:val="ab"/>
      </w:pPr>
      <w:r w:rsidRPr="003A1C71">
        <w:t>На российском рынке услуг депозитариев, осуществляющих хранение и . учет ценных бумаг, также можно говорить о недостаточном развитии конкуренции. По аналогии со сферой организации торговли на рынке ценных бумаг, на указанном рынке также функционируют две фирмы, которые оказывают наибольший объем услуг. Депозитариями, получившими монопольное право обслуживать операции участников торгов по акциям, являются Национальный депозитарный центр, сотрудничающий с ММВБ, и Депозитарно-клиринговая компания, взаимодействующая с РТС. Подобную ситуацию можно назвать дуополией, которая является специфическим проявлением монополизации.</w:t>
      </w:r>
    </w:p>
    <w:p w:rsidR="00396584" w:rsidRPr="003A1C71" w:rsidRDefault="00396584" w:rsidP="00396584">
      <w:pPr>
        <w:pStyle w:val="ab"/>
      </w:pPr>
      <w:r w:rsidRPr="003A1C71">
        <w:t>На неразвитость конкурентных отношений на российском рынке ценных бумаг также указывает тот факт, что практически 85% всего рынка формируют всего 6 корпоративных бумаг, общих для национальных фондовых бирж - ММВБ и РТС. Это акции</w:t>
      </w:r>
      <w:r>
        <w:t xml:space="preserve"> РАО </w:t>
      </w:r>
      <w:r w:rsidRPr="003A1C71">
        <w:t>«ЕЭС», ОАО «</w:t>
      </w:r>
      <w:r>
        <w:t>ЛУКОЙЛ</w:t>
      </w:r>
      <w:r w:rsidRPr="003A1C71">
        <w:t>», ОАО «ЮКОС»,</w:t>
      </w:r>
      <w:r>
        <w:t xml:space="preserve"> ОАО </w:t>
      </w:r>
      <w:r w:rsidRPr="003A1C71">
        <w:t>«</w:t>
      </w:r>
      <w:r>
        <w:t>Сибнефть</w:t>
      </w:r>
      <w:r w:rsidRPr="003A1C71">
        <w:t>», ОАО «</w:t>
      </w:r>
      <w:r>
        <w:t>Ростелеком</w:t>
      </w:r>
      <w:r w:rsidRPr="003A1C71">
        <w:t>»</w:t>
      </w:r>
      <w:r>
        <w:rPr>
          <w:rStyle w:val="a7"/>
          <w:szCs w:val="28"/>
        </w:rPr>
        <w:footnoteReference w:id="25"/>
      </w:r>
      <w:r w:rsidRPr="003A1C71">
        <w:t>.</w:t>
      </w:r>
    </w:p>
    <w:p w:rsidR="00396584" w:rsidRDefault="00396584" w:rsidP="00396584">
      <w:pPr>
        <w:pStyle w:val="ab"/>
        <w:rPr>
          <w:rFonts w:ascii="Verdana" w:hAnsi="Verdana"/>
          <w:sz w:val="22"/>
          <w:szCs w:val="22"/>
        </w:rPr>
      </w:pPr>
      <w:r w:rsidRPr="003A1C71">
        <w:t>В целом попытки государства обеспечить формирование конкурентной среды на фондовом рынке не дают должных результатов, что является следствием недостатков в</w:t>
      </w:r>
      <w:r>
        <w:t xml:space="preserve"> </w:t>
      </w:r>
      <w:r w:rsidRPr="003A1C71">
        <w:t>законодательном</w:t>
      </w:r>
      <w:r>
        <w:t xml:space="preserve"> </w:t>
      </w:r>
      <w:r w:rsidRPr="003A1C71">
        <w:t>механизме антимонопольного регулирования рынка ценных бумаг.</w:t>
      </w:r>
    </w:p>
    <w:p w:rsidR="00396584" w:rsidRDefault="00396584" w:rsidP="00396584">
      <w:pPr>
        <w:pStyle w:val="ab"/>
        <w:rPr>
          <w:rFonts w:ascii="Verdana" w:hAnsi="Verdana"/>
          <w:sz w:val="22"/>
          <w:szCs w:val="22"/>
        </w:rPr>
      </w:pPr>
      <w:r w:rsidRPr="003A1C71">
        <w:t>В основе правового регулирования конкурентных отношений на фондовом рынке лежат общие и специальные принципы рыночной экономики, являющиеся фундаментом развития конкуренции на рынке ценных бумаг и призванные обеспечивать устойчивую связь между нормами права о защите конкуренции на фондовом рынке. К общим принц</w:t>
      </w:r>
      <w:r>
        <w:t xml:space="preserve">ипам относятся: принцип свободы </w:t>
      </w:r>
      <w:r w:rsidRPr="003A1C71">
        <w:t>экономической деятельности; принцип государственного регулирования рыночных отношений; принцип единства экономического пространства; принцип законности. Специальными принципами являются: принцип поддержки добросовестной конкуренции; принцип недопустимости экономической деятельности, направленной на монополизацию рынков и недобросовестную конкуренцию; принцип дифференциации и защиты частных и публичных интересов; принцип эффективности государственного регулирования деятельности субъектов конкуренции и монополий; принцип</w:t>
      </w:r>
      <w:r>
        <w:t xml:space="preserve"> </w:t>
      </w:r>
      <w:r w:rsidRPr="003A1C71">
        <w:t>запрета</w:t>
      </w:r>
      <w:r>
        <w:t xml:space="preserve"> </w:t>
      </w:r>
      <w:r w:rsidRPr="003A1C71">
        <w:t>злоупотреблений. В работе показана зависимость частных принципов от общих, раскрыта специфика применения общих принципов в сфере правового регулирования конкуренции на рынке ценных бумаг.</w:t>
      </w:r>
    </w:p>
    <w:p w:rsidR="00396584" w:rsidRPr="00340B06" w:rsidRDefault="00396584" w:rsidP="00396584">
      <w:pPr>
        <w:pStyle w:val="ab"/>
      </w:pPr>
      <w:r w:rsidRPr="00F44885">
        <w:rPr>
          <w:szCs w:val="22"/>
          <w:u w:val="single"/>
        </w:rPr>
        <w:t>На основании изложенного предлагаю дополнить</w:t>
      </w:r>
      <w:r w:rsidRPr="00340B06">
        <w:rPr>
          <w:szCs w:val="22"/>
        </w:rPr>
        <w:t xml:space="preserve"> ст.2 Федерального закона от 22 апреля 1996 г. № 39-ФЗ «</w:t>
      </w:r>
      <w:r w:rsidRPr="00340B06">
        <w:t xml:space="preserve"> О рынке ценных бумаг» абзацем, содержащим следующее развитие конкуренции на российском рынке ценных бумаг, которое определить можно так:</w:t>
      </w:r>
    </w:p>
    <w:p w:rsidR="00396584" w:rsidRDefault="00396584" w:rsidP="00396584">
      <w:pPr>
        <w:pStyle w:val="ab"/>
      </w:pPr>
      <w:r w:rsidRPr="00340B06">
        <w:rPr>
          <w:szCs w:val="22"/>
        </w:rPr>
        <w:t>«</w:t>
      </w:r>
      <w:r w:rsidRPr="00340B06">
        <w:t>Конкуренция на рынке ценных бумаг – состоятельность между профессиональными участниками рынка ценных бумаг в процессе оказания услуг потребителем, при которой самостоятельные действия профессиональных участников ограничивают возможность каждого  из них односторонние воздействовать на общие условия предоставления услуг на рынке ценных бумаг»</w:t>
      </w:r>
    </w:p>
    <w:p w:rsidR="00396584" w:rsidRDefault="00396584" w:rsidP="00396584">
      <w:pPr>
        <w:pStyle w:val="ab"/>
      </w:pPr>
      <w:r>
        <w:t xml:space="preserve">Это понятие является частью более широко понятия конкуренции, используемого в утратившем силу федеральном законе от 23.06.1993(утратил силу 26.07.2006 в связи с вступлением в силу №135-ФЗ </w:t>
      </w:r>
      <w:r w:rsidRPr="00EC3452">
        <w:t>“</w:t>
      </w:r>
      <w:r>
        <w:t>О защите конкуренции</w:t>
      </w:r>
      <w:r w:rsidRPr="00EC3452">
        <w:t>”) "О защите конкуренции на рынке финансовых услуг» (ред. от 02.02.2006</w:t>
      </w:r>
      <w:r>
        <w:t>)</w:t>
      </w:r>
    </w:p>
    <w:p w:rsidR="00396584" w:rsidRPr="00345286" w:rsidRDefault="00396584" w:rsidP="00396584">
      <w:pPr>
        <w:pStyle w:val="ab"/>
      </w:pPr>
      <w:r w:rsidRPr="003848D4">
        <w:rPr>
          <w:szCs w:val="22"/>
          <w:u w:val="single"/>
        </w:rPr>
        <w:t>Так же «</w:t>
      </w:r>
      <w:r w:rsidRPr="003848D4">
        <w:rPr>
          <w:u w:val="single"/>
        </w:rPr>
        <w:t>О рынке ценных бумаг» абзацем</w:t>
      </w:r>
      <w:r>
        <w:t>, содержащем понятие нарушения антимонопольного законодательства на рынке ценных бумаг, которое рассматривается как</w:t>
      </w:r>
      <w:r w:rsidRPr="00345286">
        <w:t>:</w:t>
      </w:r>
    </w:p>
    <w:p w:rsidR="00396584" w:rsidRPr="00345286" w:rsidRDefault="00396584" w:rsidP="00396584">
      <w:pPr>
        <w:pStyle w:val="ab"/>
      </w:pPr>
      <w:r w:rsidRPr="00340B06">
        <w:t>«</w:t>
      </w:r>
      <w:r>
        <w:t>Нарушение антимонопольного законодательства на рынке ценных бумаг – предусмотренное законодательством о защите конкуренции на рынке финансовых услуг злоумышленное деяние (действие или бездействие) финансовой организации либо органа исполнительной власти или местного самоуправления, посягающие на общественные отношения в сфере добросовестной конкуренции на рынке ценных бумаг или устранение конкуренции на фондовом рынке</w:t>
      </w:r>
      <w:r w:rsidRPr="00340B06">
        <w:t>»</w:t>
      </w:r>
    </w:p>
    <w:p w:rsidR="00396584" w:rsidRDefault="00396584" w:rsidP="00396584">
      <w:pPr>
        <w:pStyle w:val="ab"/>
      </w:pPr>
      <w:r>
        <w:t>Установлены признаки системности в организации деятельности органов антимонопольного регулирования Российской Федерации, призванных решать задачи проведения государственной политики по развитию конкурентных отношений на товарных и финансовых рынках, предупреждению, ограничению и пресечению монополистической деятельности и недобросовестной конкуренции. В работе показано, что одной из основных причин, снижающих эффективность антимонопольного регулирования на рынке ценных бумаг, является недостаточное организационно-правовое взаимодействие между федеральным антимонопольным органом в лице Федеральной антимонопольной службы РФ и Федеральной службой по финансовым рынкам, осуществляющей регулирование рынка ценных бумаг России.</w:t>
      </w:r>
    </w:p>
    <w:p w:rsidR="00396584" w:rsidRDefault="00396584" w:rsidP="00396584">
      <w:pPr>
        <w:pStyle w:val="ab"/>
      </w:pPr>
      <w:r>
        <w:t>Правовое регулирование конкуренции на рынке ценных бумаг России осуществляется посредством предварительного и последующего государственного антимонопольного контроля, который применяется в отношении действий субъектов конкурентных отношений рынка ценных бумаг по приобретению активов или акций (долей в уставном капитале) финансовых организаций и в отношении</w:t>
      </w:r>
      <w:r>
        <w:rPr>
          <w:rStyle w:val="apple-converted-space"/>
          <w:rFonts w:ascii="Verdana" w:hAnsi="Verdana"/>
          <w:sz w:val="22"/>
          <w:szCs w:val="22"/>
        </w:rPr>
        <w:t xml:space="preserve"> соглашений</w:t>
      </w:r>
      <w:r>
        <w:t>, имеющих целью ограничение конкуренции на фондовом рынке.</w:t>
      </w:r>
    </w:p>
    <w:p w:rsidR="00396584" w:rsidRDefault="00396584" w:rsidP="00396584">
      <w:pPr>
        <w:pStyle w:val="ab"/>
      </w:pPr>
      <w:r>
        <w:t>И</w:t>
      </w:r>
      <w:r w:rsidRPr="00EC3452">
        <w:t xml:space="preserve">меются критерии антимонопольного контроля, определяющие пределы его осуществления и конкретные объекты контроля под которыми понимаются: </w:t>
      </w:r>
    </w:p>
    <w:p w:rsidR="00396584" w:rsidRDefault="00396584" w:rsidP="00396584">
      <w:pPr>
        <w:pStyle w:val="ab"/>
      </w:pPr>
      <w:r>
        <w:t>С</w:t>
      </w:r>
      <w:r w:rsidRPr="001F186A">
        <w:t>овокупность продуктовых и географических границ рынка ценных бумаг, числовые выражения доли финансовой организации на фондовом рынке, необходимые для определения ее доминирующего положения, величина активов финансовых организаций при их приобретении иными финансовыми организациями. При этом показано, что Федеральный закон «О защите конкуренции на рынке финансовых услуг», в отличие от Закона РСФСР «О конкуренции и ограничении монополистической деятельности на товарных рынках», не содержит критериев установления предельных нормативов доминирующего положения финансовых организаций, что может привести к</w:t>
      </w:r>
      <w:r>
        <w:t xml:space="preserve"> </w:t>
      </w:r>
      <w:r w:rsidRPr="001F186A">
        <w:t>необоснованному</w:t>
      </w:r>
      <w:r>
        <w:t xml:space="preserve"> </w:t>
      </w:r>
      <w:r w:rsidRPr="001F186A">
        <w:t>ограничению прав профессиональных участников рынка ценных бумаг со стороны антимонопольных органов</w:t>
      </w:r>
      <w:r>
        <w:t>.</w:t>
      </w:r>
    </w:p>
    <w:p w:rsidR="00CE59E7" w:rsidRDefault="00396584" w:rsidP="00CE59E7">
      <w:pPr>
        <w:pStyle w:val="ab"/>
      </w:pPr>
      <w:r w:rsidRPr="001F186A">
        <w:t>Понятие нарушения антимонопольного законодательства на рынке ценных бумаг, которое рассматривается как предусмотренное законодательством о защите конкуренции на рынке финансовых услуг умышленное деяние (действие или бездействие) финансовой организации (группы лиц) либо органа исполнительной власти или местного самоуправления, посягающее на общественные отношения в сфере добросовестной конкуренции на рынке ценных бумаг и направленное на недопущение, ограничение или устранение конкуренции на фондовом рынке</w:t>
      </w:r>
      <w:r>
        <w:t>.</w:t>
      </w:r>
    </w:p>
    <w:p w:rsidR="00396584" w:rsidRDefault="00CE59E7" w:rsidP="00CE59E7">
      <w:pPr>
        <w:pStyle w:val="ab"/>
        <w:jc w:val="center"/>
      </w:pPr>
      <w:r>
        <w:br w:type="page"/>
      </w:r>
      <w:bookmarkStart w:id="29" w:name="_Toc416731639"/>
      <w:bookmarkStart w:id="30" w:name="_Toc418783233"/>
      <w:bookmarkStart w:id="31" w:name="_Toc418797090"/>
      <w:bookmarkStart w:id="32" w:name="_Toc418797613"/>
      <w:r w:rsidR="00396584" w:rsidRPr="00CE59E7">
        <w:rPr>
          <w:rStyle w:val="10"/>
          <w:rFonts w:eastAsia="Arial Unicode MS"/>
        </w:rPr>
        <w:t>Заключение</w:t>
      </w:r>
      <w:bookmarkEnd w:id="29"/>
      <w:bookmarkEnd w:id="30"/>
      <w:bookmarkEnd w:id="31"/>
      <w:bookmarkEnd w:id="32"/>
    </w:p>
    <w:p w:rsidR="00396584" w:rsidRDefault="00396584" w:rsidP="00396584">
      <w:pPr>
        <w:pStyle w:val="ab"/>
      </w:pPr>
      <w:r w:rsidRPr="001F186A">
        <w:t xml:space="preserve">Ценной бумагой признается документ, удостоверяющий с соблюдением установленной формы (реквизитов) имущественные права, осуществление или передача которых возможны только при его предъявлении. </w:t>
      </w:r>
      <w:r>
        <w:rPr>
          <w:shd w:val="clear" w:color="auto" w:fill="FFFFFF"/>
        </w:rPr>
        <w:t>Основным</w:t>
      </w:r>
      <w:r>
        <w:rPr>
          <w:rStyle w:val="apple-converted-space"/>
          <w:rFonts w:ascii="Arial" w:hAnsi="Arial" w:cs="Arial"/>
          <w:color w:val="333333"/>
          <w:shd w:val="clear" w:color="auto" w:fill="FFFFFF"/>
        </w:rPr>
        <w:t xml:space="preserve"> </w:t>
      </w:r>
      <w:r>
        <w:rPr>
          <w:shd w:val="clear" w:color="auto" w:fill="FFFFFF"/>
        </w:rPr>
        <w:t>органом</w:t>
      </w:r>
      <w:r>
        <w:rPr>
          <w:rStyle w:val="apple-converted-space"/>
          <w:rFonts w:ascii="Arial" w:hAnsi="Arial" w:cs="Arial"/>
          <w:color w:val="333333"/>
          <w:shd w:val="clear" w:color="auto" w:fill="FFFFFF"/>
        </w:rPr>
        <w:t xml:space="preserve"> </w:t>
      </w:r>
      <w:r>
        <w:rPr>
          <w:shd w:val="clear" w:color="auto" w:fill="FFFFFF"/>
        </w:rPr>
        <w:t>государственной</w:t>
      </w:r>
      <w:r>
        <w:rPr>
          <w:rStyle w:val="apple-converted-space"/>
          <w:rFonts w:ascii="Arial" w:hAnsi="Arial" w:cs="Arial"/>
          <w:color w:val="333333"/>
          <w:shd w:val="clear" w:color="auto" w:fill="FFFFFF"/>
        </w:rPr>
        <w:t xml:space="preserve"> </w:t>
      </w:r>
      <w:r>
        <w:rPr>
          <w:shd w:val="clear" w:color="auto" w:fill="FFFFFF"/>
        </w:rPr>
        <w:t>исполнительной</w:t>
      </w:r>
      <w:r>
        <w:rPr>
          <w:rStyle w:val="apple-converted-space"/>
          <w:rFonts w:ascii="Arial" w:hAnsi="Arial" w:cs="Arial"/>
          <w:color w:val="333333"/>
          <w:shd w:val="clear" w:color="auto" w:fill="FFFFFF"/>
        </w:rPr>
        <w:t xml:space="preserve"> в</w:t>
      </w:r>
      <w:r>
        <w:rPr>
          <w:shd w:val="clear" w:color="auto" w:fill="FFFFFF"/>
        </w:rPr>
        <w:t>ласти</w:t>
      </w:r>
      <w:r>
        <w:rPr>
          <w:rStyle w:val="apple-converted-space"/>
          <w:rFonts w:ascii="Arial" w:hAnsi="Arial" w:cs="Arial"/>
          <w:color w:val="333333"/>
          <w:shd w:val="clear" w:color="auto" w:fill="FFFFFF"/>
        </w:rPr>
        <w:t xml:space="preserve"> </w:t>
      </w:r>
      <w:r>
        <w:rPr>
          <w:shd w:val="clear" w:color="auto" w:fill="FFFFFF"/>
        </w:rPr>
        <w:t>Российской</w:t>
      </w:r>
      <w:r>
        <w:rPr>
          <w:rStyle w:val="apple-converted-space"/>
          <w:rFonts w:ascii="Arial" w:hAnsi="Arial" w:cs="Arial"/>
          <w:color w:val="333333"/>
          <w:shd w:val="clear" w:color="auto" w:fill="FFFFFF"/>
        </w:rPr>
        <w:t xml:space="preserve"> </w:t>
      </w:r>
      <w:r>
        <w:rPr>
          <w:shd w:val="clear" w:color="auto" w:fill="FFFFFF"/>
        </w:rPr>
        <w:t>Федерации, осуществляющим</w:t>
      </w:r>
      <w:r>
        <w:rPr>
          <w:rStyle w:val="apple-converted-space"/>
          <w:rFonts w:ascii="Arial" w:hAnsi="Arial" w:cs="Arial"/>
          <w:color w:val="333333"/>
          <w:shd w:val="clear" w:color="auto" w:fill="FFFFFF"/>
        </w:rPr>
        <w:t xml:space="preserve"> </w:t>
      </w:r>
      <w:r>
        <w:rPr>
          <w:shd w:val="clear" w:color="auto" w:fill="FFFFFF"/>
        </w:rPr>
        <w:t>регулирование</w:t>
      </w:r>
      <w:r>
        <w:rPr>
          <w:rStyle w:val="apple-converted-space"/>
          <w:rFonts w:ascii="Arial" w:hAnsi="Arial" w:cs="Arial"/>
          <w:color w:val="333333"/>
          <w:shd w:val="clear" w:color="auto" w:fill="FFFFFF"/>
        </w:rPr>
        <w:t xml:space="preserve"> </w:t>
      </w:r>
      <w:r>
        <w:rPr>
          <w:shd w:val="clear" w:color="auto" w:fill="FFFFFF"/>
        </w:rPr>
        <w:t>рынка</w:t>
      </w:r>
      <w:r>
        <w:rPr>
          <w:rStyle w:val="apple-converted-space"/>
          <w:rFonts w:ascii="Arial" w:hAnsi="Arial" w:cs="Arial"/>
          <w:color w:val="333333"/>
          <w:shd w:val="clear" w:color="auto" w:fill="FFFFFF"/>
        </w:rPr>
        <w:t xml:space="preserve"> </w:t>
      </w:r>
      <w:r>
        <w:rPr>
          <w:shd w:val="clear" w:color="auto" w:fill="FFFFFF"/>
        </w:rPr>
        <w:t>ценных</w:t>
      </w:r>
      <w:r>
        <w:rPr>
          <w:rStyle w:val="apple-converted-space"/>
          <w:rFonts w:ascii="Arial" w:hAnsi="Arial" w:cs="Arial"/>
          <w:color w:val="333333"/>
          <w:shd w:val="clear" w:color="auto" w:fill="FFFFFF"/>
        </w:rPr>
        <w:t xml:space="preserve"> </w:t>
      </w:r>
      <w:r>
        <w:rPr>
          <w:shd w:val="clear" w:color="auto" w:fill="FFFFFF"/>
        </w:rPr>
        <w:t>бумаг,</w:t>
      </w:r>
      <w:r>
        <w:rPr>
          <w:rStyle w:val="apple-converted-space"/>
          <w:rFonts w:ascii="Arial" w:hAnsi="Arial" w:cs="Arial"/>
          <w:color w:val="333333"/>
          <w:shd w:val="clear" w:color="auto" w:fill="FFFFFF"/>
        </w:rPr>
        <w:t xml:space="preserve"> </w:t>
      </w:r>
      <w:r>
        <w:rPr>
          <w:shd w:val="clear" w:color="auto" w:fill="FFFFFF"/>
        </w:rPr>
        <w:t>является Федеральная комиссия по</w:t>
      </w:r>
      <w:r>
        <w:rPr>
          <w:rStyle w:val="apple-converted-space"/>
          <w:rFonts w:ascii="Arial" w:hAnsi="Arial" w:cs="Arial"/>
          <w:color w:val="333333"/>
          <w:shd w:val="clear" w:color="auto" w:fill="FFFFFF"/>
        </w:rPr>
        <w:t xml:space="preserve"> </w:t>
      </w:r>
      <w:r>
        <w:rPr>
          <w:shd w:val="clear" w:color="auto" w:fill="FFFFFF"/>
        </w:rPr>
        <w:t>рынку</w:t>
      </w:r>
      <w:r>
        <w:rPr>
          <w:rStyle w:val="apple-converted-space"/>
          <w:rFonts w:ascii="Arial" w:hAnsi="Arial" w:cs="Arial"/>
          <w:color w:val="333333"/>
          <w:shd w:val="clear" w:color="auto" w:fill="FFFFFF"/>
        </w:rPr>
        <w:t xml:space="preserve"> </w:t>
      </w:r>
      <w:r>
        <w:rPr>
          <w:shd w:val="clear" w:color="auto" w:fill="FFFFFF"/>
        </w:rPr>
        <w:t>ценных</w:t>
      </w:r>
      <w:r>
        <w:rPr>
          <w:rStyle w:val="apple-converted-space"/>
          <w:rFonts w:ascii="Arial" w:hAnsi="Arial" w:cs="Arial"/>
          <w:color w:val="333333"/>
          <w:shd w:val="clear" w:color="auto" w:fill="FFFFFF"/>
        </w:rPr>
        <w:t xml:space="preserve"> </w:t>
      </w:r>
      <w:r>
        <w:rPr>
          <w:shd w:val="clear" w:color="auto" w:fill="FFFFFF"/>
        </w:rPr>
        <w:t>бумаг</w:t>
      </w:r>
    </w:p>
    <w:p w:rsidR="00396584" w:rsidRPr="0014625B" w:rsidRDefault="00396584" w:rsidP="00396584">
      <w:pPr>
        <w:pStyle w:val="ab"/>
      </w:pPr>
      <w:r w:rsidRPr="0014625B">
        <w:t>Опе</w:t>
      </w:r>
      <w:r>
        <w:t>рации</w:t>
      </w:r>
      <w:r w:rsidRPr="0014625B">
        <w:t xml:space="preserve"> с ценными бумагами </w:t>
      </w:r>
      <w:r>
        <w:t>за</w:t>
      </w:r>
      <w:r w:rsidRPr="0014625B">
        <w:t xml:space="preserve"> последние 15-20 ле</w:t>
      </w:r>
      <w:r>
        <w:t>т вошли в практик</w:t>
      </w:r>
      <w:r w:rsidRPr="0014625B">
        <w:t xml:space="preserve">у </w:t>
      </w:r>
      <w:r>
        <w:t xml:space="preserve">российских брокеров и их клиентов. </w:t>
      </w:r>
    </w:p>
    <w:p w:rsidR="00396584" w:rsidRDefault="00396584" w:rsidP="00396584">
      <w:pPr>
        <w:pStyle w:val="ab"/>
      </w:pPr>
      <w:r>
        <w:t>М</w:t>
      </w:r>
      <w:r w:rsidRPr="001501C5">
        <w:t>ожно выделить четыре вида деятельности банков на рынке ценных бумаг:</w:t>
      </w:r>
    </w:p>
    <w:p w:rsidR="00396584" w:rsidRDefault="00396584" w:rsidP="00396584">
      <w:pPr>
        <w:pStyle w:val="ab"/>
      </w:pPr>
      <w:r>
        <w:t>1) деятельность банков как эмитентов;</w:t>
      </w:r>
    </w:p>
    <w:p w:rsidR="00396584" w:rsidRDefault="00396584" w:rsidP="00396584">
      <w:pPr>
        <w:pStyle w:val="ab"/>
      </w:pPr>
      <w:r>
        <w:t>2) деятельность банков как инвесторов;</w:t>
      </w:r>
    </w:p>
    <w:p w:rsidR="00396584" w:rsidRDefault="00396584" w:rsidP="00396584">
      <w:pPr>
        <w:pStyle w:val="ab"/>
      </w:pPr>
      <w:r>
        <w:t>3) деятельность банков как профессиональных участников рынка ценных бумаг;</w:t>
      </w:r>
    </w:p>
    <w:p w:rsidR="00396584" w:rsidRDefault="00396584" w:rsidP="00396584">
      <w:pPr>
        <w:pStyle w:val="ab"/>
      </w:pPr>
      <w:r>
        <w:t>4) деятельность по осуществлению традиционных банковских операций, связанных с обслуживанием рынка ценных бумаг.</w:t>
      </w:r>
    </w:p>
    <w:p w:rsidR="00396584" w:rsidRDefault="00396584" w:rsidP="00396584">
      <w:pPr>
        <w:pStyle w:val="ab"/>
      </w:pPr>
      <w:r>
        <w:t>В качестве эмитентов банки проводят операции по эмиссии (выпуску) собственных ценных бумаг и их первичному размещению, а также другие операции по обеспечению реализации прав инвесторов, удостоверенных ценными бумагами, эмитированными банками:</w:t>
      </w:r>
    </w:p>
    <w:p w:rsidR="00396584" w:rsidRDefault="00396584" w:rsidP="00396584">
      <w:pPr>
        <w:pStyle w:val="ab"/>
      </w:pPr>
      <w:r>
        <w:t>1) выплату купонных доходов, процентов и дивидендов;</w:t>
      </w:r>
    </w:p>
    <w:p w:rsidR="00396584" w:rsidRDefault="00396584" w:rsidP="00396584">
      <w:pPr>
        <w:pStyle w:val="ab"/>
      </w:pPr>
      <w:r>
        <w:t>2) погашение долговых ценных бумаг при наступлении срока;</w:t>
      </w:r>
    </w:p>
    <w:p w:rsidR="00396584" w:rsidRDefault="00396584" w:rsidP="00396584">
      <w:pPr>
        <w:pStyle w:val="ab"/>
      </w:pPr>
      <w:r>
        <w:t>3) обеспечение условий для участия акционеров (владельцев акций) в управлении кредитной организацией и другие операции.</w:t>
      </w:r>
    </w:p>
    <w:p w:rsidR="00396584" w:rsidRDefault="00396584" w:rsidP="00396584">
      <w:pPr>
        <w:pStyle w:val="ab"/>
      </w:pPr>
      <w:r>
        <w:t>В основном выпуск ценных бумаг банками производится для привлечения дополнительных финансовых ресурсов. Выпущенные акции формируют и увеличивают уставный капитал банка, а выпущенные долговые обязательства (облигации, депозитные и сберегательные сертификаты, векселя) привлекают заемные средства на долгосрочной либо краткосрочной основе.</w:t>
      </w:r>
    </w:p>
    <w:p w:rsidR="00396584" w:rsidRDefault="00396584" w:rsidP="00396584">
      <w:pPr>
        <w:pStyle w:val="ab"/>
      </w:pPr>
      <w:r>
        <w:t>Особенность деятельности российских банков на рынке ценных бумаг заключается в том, что они осуществляют операции на этом рынке по общим правилам, действующим для всех участников рынка ценных бумаг, но при этом должны соблюдать еще и дополнительные правила, устанавливаемые Банком России.</w:t>
      </w:r>
    </w:p>
    <w:p w:rsidR="00396584" w:rsidRDefault="00396584" w:rsidP="00396584">
      <w:pPr>
        <w:pStyle w:val="ab"/>
      </w:pPr>
      <w:r>
        <w:t>Традиционные банковские операции, связанные с обслуживанием рынка ценных бумаг, включают:</w:t>
      </w:r>
    </w:p>
    <w:p w:rsidR="00396584" w:rsidRDefault="00396584" w:rsidP="00396584">
      <w:pPr>
        <w:pStyle w:val="ab"/>
      </w:pPr>
      <w:r w:rsidRPr="00E72082">
        <w:t>1)</w:t>
      </w:r>
      <w:r>
        <w:t xml:space="preserve"> </w:t>
      </w:r>
      <w:r w:rsidRPr="00830981">
        <w:t>предоставление кредитов</w:t>
      </w:r>
      <w:r>
        <w:rPr>
          <w:rStyle w:val="24"/>
        </w:rPr>
        <w:t xml:space="preserve"> </w:t>
      </w:r>
      <w:r>
        <w:t>на приобретение ценных бумаг и под залог ценных бумаг;</w:t>
      </w:r>
    </w:p>
    <w:p w:rsidR="00396584" w:rsidRDefault="00396584" w:rsidP="00396584">
      <w:pPr>
        <w:pStyle w:val="ab"/>
      </w:pPr>
      <w:r w:rsidRPr="00E72082">
        <w:t>2)</w:t>
      </w:r>
      <w:r>
        <w:t xml:space="preserve"> предоставление банковских гарантий по выпускам облигаций и других ценных бумаг;</w:t>
      </w:r>
    </w:p>
    <w:p w:rsidR="00396584" w:rsidRDefault="00396584" w:rsidP="00396584">
      <w:pPr>
        <w:pStyle w:val="ab"/>
      </w:pPr>
      <w:r w:rsidRPr="004A172E">
        <w:t>3)</w:t>
      </w:r>
      <w:r>
        <w:t xml:space="preserve"> выполнение функций платежных агентов;</w:t>
      </w:r>
    </w:p>
    <w:p w:rsidR="00396584" w:rsidRDefault="00396584" w:rsidP="00396584">
      <w:pPr>
        <w:pStyle w:val="ab"/>
      </w:pPr>
      <w:r w:rsidRPr="00E72082">
        <w:t>4)</w:t>
      </w:r>
      <w:r>
        <w:t xml:space="preserve"> ведение счетов эмитентов и прочие услуги.</w:t>
      </w:r>
    </w:p>
    <w:p w:rsidR="00396584" w:rsidRDefault="00396584" w:rsidP="00396584">
      <w:pPr>
        <w:pStyle w:val="ab"/>
      </w:pPr>
      <w:r>
        <w:t>В зависимости от видов операций с ценными бумагами, осуществляемых конкретным банком, каждая кредитная организация разрабатывает собственную организационную структуру, позволяющую оперативно и с высокой степенью эффективности осуществлять управление деятельностью коммерческого банка на рынке ценных бумаг.</w:t>
      </w:r>
    </w:p>
    <w:p w:rsidR="00396584" w:rsidRPr="004A172E" w:rsidRDefault="00396584" w:rsidP="00396584">
      <w:pPr>
        <w:pStyle w:val="ab"/>
      </w:pPr>
      <w:r>
        <w:t>В ходе исследования были выявлены следующие проблемы правового регулирования</w:t>
      </w:r>
      <w:r w:rsidRPr="00830981">
        <w:t>:</w:t>
      </w:r>
    </w:p>
    <w:p w:rsidR="00396584" w:rsidRDefault="00396584" w:rsidP="00396584">
      <w:pPr>
        <w:pStyle w:val="ab"/>
      </w:pPr>
      <w:r>
        <w:t xml:space="preserve">1) В настоящее время в законодательстве отсутствует такое понятие как </w:t>
      </w:r>
      <w:r w:rsidRPr="00830981">
        <w:t>“</w:t>
      </w:r>
      <w:r>
        <w:t>конкуренция на рынке ценных бумаг</w:t>
      </w:r>
      <w:r w:rsidRPr="00830981">
        <w:t>”</w:t>
      </w:r>
    </w:p>
    <w:p w:rsidR="00396584" w:rsidRPr="00830981" w:rsidRDefault="00396584" w:rsidP="00396584">
      <w:pPr>
        <w:pStyle w:val="ab"/>
      </w:pPr>
      <w:r>
        <w:t xml:space="preserve">2) Также в законодательстве отсутствует такое основополагающее понятие как </w:t>
      </w:r>
      <w:r w:rsidRPr="00830981">
        <w:t>“</w:t>
      </w:r>
      <w:r>
        <w:t>нарушение антимонопольного законодательства на рынке ценных бумаг</w:t>
      </w:r>
    </w:p>
    <w:p w:rsidR="00396584" w:rsidRPr="00340B06" w:rsidRDefault="00396584" w:rsidP="00396584">
      <w:pPr>
        <w:pStyle w:val="ab"/>
      </w:pPr>
      <w:r w:rsidRPr="00F44885">
        <w:rPr>
          <w:szCs w:val="22"/>
          <w:u w:val="single"/>
        </w:rPr>
        <w:t>На основании изложенного предлагаю</w:t>
      </w:r>
      <w:r w:rsidRPr="00340B06">
        <w:rPr>
          <w:szCs w:val="22"/>
        </w:rPr>
        <w:t xml:space="preserve"> дополнить ст.2 Федерального закона от 22 апреля 1996 г. № 39-ФЗ «</w:t>
      </w:r>
      <w:r w:rsidRPr="00340B06">
        <w:t xml:space="preserve"> О рынке ценных бумаг» абзацем, содержащим следующее развитие конкуренции на российском рынке ценных бумаг, которое определить можно так:</w:t>
      </w:r>
    </w:p>
    <w:p w:rsidR="00396584" w:rsidRDefault="00396584" w:rsidP="00396584">
      <w:pPr>
        <w:pStyle w:val="ab"/>
      </w:pPr>
      <w:r w:rsidRPr="00340B06">
        <w:rPr>
          <w:szCs w:val="22"/>
        </w:rPr>
        <w:t>«</w:t>
      </w:r>
      <w:r w:rsidRPr="00340B06">
        <w:t>Конкуренция на рынке ценных бумаг – состоятельность между профессиональными участниками рынка ценных бумаг в процессе оказания услуг потребителем, при которой самостоятельные действия профессиональных участников ограничивают возможность каждого  из них односторонние воздействовать на общие условия предоставления услуг на рынке ценных бумаг»</w:t>
      </w:r>
    </w:p>
    <w:p w:rsidR="00396584" w:rsidRDefault="00396584" w:rsidP="00396584">
      <w:pPr>
        <w:pStyle w:val="ab"/>
      </w:pPr>
      <w:r>
        <w:t xml:space="preserve">Это понятие является частью более широко понятия конкуренции, используемого в утратившем силу федеральном законе от 23.06.1993(утратил силу 26.07.2006 в связи с вступлением в силу №135-ФЗ </w:t>
      </w:r>
      <w:r w:rsidRPr="00EC3452">
        <w:t>“</w:t>
      </w:r>
      <w:r>
        <w:t>О защите конкуренции</w:t>
      </w:r>
      <w:r w:rsidRPr="00EC3452">
        <w:t>”) "О защите конкуренции на рынке финансовых услуг» (ред. от 02.02.2006</w:t>
      </w:r>
      <w:r>
        <w:t>)</w:t>
      </w:r>
    </w:p>
    <w:p w:rsidR="00396584" w:rsidRPr="00345286" w:rsidRDefault="00396584" w:rsidP="00396584">
      <w:pPr>
        <w:pStyle w:val="ab"/>
      </w:pPr>
      <w:r>
        <w:rPr>
          <w:szCs w:val="22"/>
        </w:rPr>
        <w:t>2)</w:t>
      </w:r>
      <w:r w:rsidRPr="00340B06">
        <w:rPr>
          <w:szCs w:val="22"/>
        </w:rPr>
        <w:t>«</w:t>
      </w:r>
      <w:r>
        <w:t>О рынке ценных бумаг</w:t>
      </w:r>
      <w:r w:rsidRPr="00340B06">
        <w:t>»</w:t>
      </w:r>
      <w:r>
        <w:t xml:space="preserve"> абзацем, содержащем понятие нарушения антимонопольного законодательства на рынке ценных бумаг, которое рассматривается как</w:t>
      </w:r>
      <w:r w:rsidRPr="00345286">
        <w:t>:</w:t>
      </w:r>
    </w:p>
    <w:p w:rsidR="00396584" w:rsidRPr="00345286" w:rsidRDefault="00396584" w:rsidP="00396584">
      <w:pPr>
        <w:pStyle w:val="ab"/>
      </w:pPr>
      <w:r w:rsidRPr="00340B06">
        <w:t>«</w:t>
      </w:r>
      <w:r>
        <w:t>Нарушение антимонопольного законодательства на рынке ценных бумаг – предусмотренное законодательством о защите конкуренции на рынке финансовых услуг злоумышленное деяние (действие или бездействие) финансовой организации либо органа исполнительной власти или местного самоуправления, посягающие на общественные отношения в сфере добросовестной конкуренции на рынке ценных бумаг или устранение конкуренции на фондовом рынке</w:t>
      </w:r>
      <w:r w:rsidRPr="00340B06">
        <w:t>»</w:t>
      </w:r>
    </w:p>
    <w:p w:rsidR="00396584" w:rsidRPr="0011782D" w:rsidRDefault="00396584" w:rsidP="0011782D">
      <w:pPr>
        <w:jc w:val="center"/>
        <w:rPr>
          <w:b/>
        </w:rPr>
      </w:pPr>
      <w:r w:rsidRPr="004A172E">
        <w:rPr>
          <w:lang w:eastAsia="en-US" w:bidi="en-US"/>
        </w:rPr>
        <w:br w:type="page"/>
      </w:r>
      <w:bookmarkStart w:id="33" w:name="_Toc416731640"/>
      <w:bookmarkStart w:id="34" w:name="_Toc418783234"/>
      <w:r w:rsidRPr="0011782D">
        <w:rPr>
          <w:b/>
        </w:rPr>
        <w:t>Список использованной литературы:</w:t>
      </w:r>
      <w:bookmarkEnd w:id="33"/>
      <w:bookmarkEnd w:id="34"/>
    </w:p>
    <w:p w:rsidR="00396584" w:rsidRPr="0011782D" w:rsidRDefault="00396584" w:rsidP="00396584">
      <w:pPr>
        <w:pStyle w:val="a4"/>
        <w:rPr>
          <w:b/>
        </w:rPr>
      </w:pPr>
      <w:r w:rsidRPr="0011782D">
        <w:rPr>
          <w:b/>
        </w:rPr>
        <w:t>Нормативно-правовые акты:</w:t>
      </w:r>
    </w:p>
    <w:p w:rsidR="00396584" w:rsidRPr="001F7B9D" w:rsidRDefault="00396584" w:rsidP="0011782D">
      <w:pPr>
        <w:pStyle w:val="a4"/>
        <w:numPr>
          <w:ilvl w:val="0"/>
          <w:numId w:val="27"/>
        </w:numPr>
        <w:ind w:left="851"/>
      </w:pPr>
      <w:r w:rsidRPr="001F7B9D">
        <w:t xml:space="preserve">" Конституция Российской Федерации от 12.12.1993 //  СПС КонсультантПлюс. </w:t>
      </w:r>
    </w:p>
    <w:p w:rsidR="00396584" w:rsidRPr="001F7B9D" w:rsidRDefault="00396584" w:rsidP="0011782D">
      <w:pPr>
        <w:pStyle w:val="a4"/>
        <w:numPr>
          <w:ilvl w:val="0"/>
          <w:numId w:val="27"/>
        </w:numPr>
        <w:ind w:left="851"/>
      </w:pPr>
      <w:r w:rsidRPr="001F7B9D">
        <w:t>"Гражданский кодекс Российской Федерации (часть вторая)" от 26.01.1996 N 14-ФЗ (ред. от 06.04.2015) // "Российская газета", N 23, 06.02.1996, N 24, 07.02.1996, N 25, 08.02.1996, N 27, 10.02.1996.</w:t>
      </w:r>
    </w:p>
    <w:p w:rsidR="00396584" w:rsidRPr="001F7B9D" w:rsidRDefault="00396584" w:rsidP="0011782D">
      <w:pPr>
        <w:pStyle w:val="a4"/>
        <w:numPr>
          <w:ilvl w:val="0"/>
          <w:numId w:val="27"/>
        </w:numPr>
        <w:ind w:left="851"/>
      </w:pPr>
      <w:r w:rsidRPr="001F7B9D">
        <w:t>"Гражданский кодекс Российской Федерации (часть первая)" от 30.11.1994 N 51-ФЗ (ред. от 06.04.2015) // "Российская газета", N 238-239, 08.12.1994.</w:t>
      </w:r>
    </w:p>
    <w:p w:rsidR="00396584" w:rsidRPr="001F7B9D" w:rsidRDefault="00396584" w:rsidP="0011782D">
      <w:pPr>
        <w:pStyle w:val="a4"/>
        <w:numPr>
          <w:ilvl w:val="0"/>
          <w:numId w:val="27"/>
        </w:numPr>
        <w:ind w:left="851"/>
      </w:pPr>
      <w:r w:rsidRPr="001F7B9D">
        <w:t>Положение ЦБР от 16 июля 2012 г. N 385-П “ О Правилах Ведения Бухгалтерского Учета В Кредитных Организациях, Расположенных На Территории Российской Федерации” // Вестник банка России 2012 № 20-21</w:t>
      </w:r>
    </w:p>
    <w:p w:rsidR="00396584" w:rsidRPr="001F7B9D" w:rsidRDefault="00396584" w:rsidP="0011782D">
      <w:pPr>
        <w:pStyle w:val="a4"/>
        <w:numPr>
          <w:ilvl w:val="0"/>
          <w:numId w:val="27"/>
        </w:numPr>
        <w:ind w:left="851"/>
      </w:pPr>
      <w:r w:rsidRPr="001F7B9D">
        <w:t>Указ Президента РФ от 26.07.1995 г. № 765(ред. От 18.02.2002) «О дополнительных мерах по повышению эффективности инвестиционной политики Российской Федерации»-утратил силу</w:t>
      </w:r>
    </w:p>
    <w:p w:rsidR="00396584" w:rsidRPr="001F7B9D" w:rsidRDefault="00396584" w:rsidP="0011782D">
      <w:pPr>
        <w:pStyle w:val="a4"/>
        <w:numPr>
          <w:ilvl w:val="0"/>
          <w:numId w:val="27"/>
        </w:numPr>
        <w:ind w:left="851"/>
      </w:pPr>
      <w:r w:rsidRPr="001F7B9D">
        <w:t>Федеральный закон от 05.03.1999 № 46-ФЗ (ред. от 23.07.2013) "О защите прав и законных интересов инвесторов на рынке ценных бумаг" // "Российская газета", N 46, 11.03.1999.</w:t>
      </w:r>
    </w:p>
    <w:p w:rsidR="00396584" w:rsidRPr="001F7B9D" w:rsidRDefault="00396584" w:rsidP="0011782D">
      <w:pPr>
        <w:pStyle w:val="a4"/>
        <w:numPr>
          <w:ilvl w:val="0"/>
          <w:numId w:val="27"/>
        </w:numPr>
        <w:ind w:left="851"/>
      </w:pPr>
      <w:r w:rsidRPr="001F7B9D">
        <w:t>Федеральный закон от 22.04.1996 № 39-ФЗ (ред. от 06.04.2015) "О рынке ценных бумаг" // "Российская газета", N 79, 25.04.1996</w:t>
      </w:r>
    </w:p>
    <w:p w:rsidR="00396584" w:rsidRPr="001F7B9D" w:rsidRDefault="00396584" w:rsidP="0011782D">
      <w:pPr>
        <w:pStyle w:val="a4"/>
        <w:numPr>
          <w:ilvl w:val="0"/>
          <w:numId w:val="27"/>
        </w:numPr>
        <w:ind w:left="851"/>
      </w:pPr>
      <w:r w:rsidRPr="001F7B9D">
        <w:t>Федеральный закон от 26.07.2006 N 135-ФЗ (ред. от 04.06.2014) "О защите конкуренции" // "Российская газета", N 162, 27.07.2006,</w:t>
      </w:r>
    </w:p>
    <w:p w:rsidR="00396584" w:rsidRPr="001F7B9D" w:rsidRDefault="00396584" w:rsidP="0011782D">
      <w:pPr>
        <w:pStyle w:val="a4"/>
        <w:numPr>
          <w:ilvl w:val="0"/>
          <w:numId w:val="27"/>
        </w:numPr>
        <w:ind w:left="851"/>
      </w:pPr>
      <w:r w:rsidRPr="001F7B9D">
        <w:t>Федеральный закон от 29.11.2001 ;№156-ФЗ ( ред. От 12.03.2014)”Об инвестиционных фондах” // "Собрание законодательства РФ", 03.12.2001, N 49, ст. 4562</w:t>
      </w:r>
    </w:p>
    <w:p w:rsidR="00396584" w:rsidRDefault="00396584" w:rsidP="00396584">
      <w:pPr>
        <w:pStyle w:val="ab"/>
      </w:pPr>
    </w:p>
    <w:p w:rsidR="00396584" w:rsidRDefault="00396584" w:rsidP="00396584">
      <w:pPr>
        <w:pStyle w:val="ab"/>
      </w:pPr>
    </w:p>
    <w:p w:rsidR="00396584" w:rsidRPr="0011782D" w:rsidRDefault="00396584" w:rsidP="00396584">
      <w:pPr>
        <w:pStyle w:val="ab"/>
        <w:rPr>
          <w:b/>
        </w:rPr>
      </w:pPr>
      <w:r w:rsidRPr="0011782D">
        <w:rPr>
          <w:b/>
        </w:rPr>
        <w:t>Учебная литература:</w:t>
      </w:r>
    </w:p>
    <w:p w:rsidR="002103AF" w:rsidRPr="0011782D" w:rsidRDefault="002103AF" w:rsidP="0011782D">
      <w:pPr>
        <w:pStyle w:val="ab"/>
        <w:numPr>
          <w:ilvl w:val="0"/>
          <w:numId w:val="26"/>
        </w:numPr>
        <w:ind w:left="567"/>
      </w:pPr>
      <w:r w:rsidRPr="0011782D">
        <w:t>Алексеева, Д Г. Банковское право : учеб, пособие / Д. Г. Алек</w:t>
      </w:r>
      <w:r w:rsidRPr="0011782D">
        <w:softHyphen/>
        <w:t>сеева. С. В. Пыхтин. Е. Г. Хоменко : М-во образования и науки Россий</w:t>
      </w:r>
      <w:r w:rsidRPr="0011782D">
        <w:softHyphen/>
        <w:t>ской Федерации. Моек. гос. юрид. акад. — 3-е изд., перераб. и доп. — М. : Юристь. 2007. — С. 489-537.</w:t>
      </w:r>
    </w:p>
    <w:p w:rsidR="002103AF" w:rsidRPr="0011782D" w:rsidRDefault="002103AF" w:rsidP="0011782D">
      <w:pPr>
        <w:pStyle w:val="ab"/>
        <w:numPr>
          <w:ilvl w:val="0"/>
          <w:numId w:val="26"/>
        </w:numPr>
        <w:ind w:left="567"/>
      </w:pPr>
      <w:r w:rsidRPr="0011782D">
        <w:t>Банковское право : учеб. / Е. О. Бонда [и др.] ; под ред. И. Ш. Килясханова, Е. Ф. Жукова. — М. : ЮНИТИ : Закон и право. 2008.— С. 264-285.</w:t>
      </w:r>
    </w:p>
    <w:p w:rsidR="002103AF" w:rsidRPr="0011782D" w:rsidRDefault="002103AF" w:rsidP="0011782D">
      <w:pPr>
        <w:pStyle w:val="ab"/>
        <w:numPr>
          <w:ilvl w:val="0"/>
          <w:numId w:val="26"/>
        </w:numPr>
        <w:ind w:left="567"/>
      </w:pPr>
      <w:r w:rsidRPr="0011782D">
        <w:t>Банковское право Российской Федерации : Особ, часть : в 2 т. : учеб. Т. 2 / Ин-т государства и права РАН. Акад. правовой ун-т: рук. авт. коллектива и отв. ред. Г. А. Тосунян. — М. : Юристь, 2004. — С.251-333.</w:t>
      </w:r>
    </w:p>
    <w:p w:rsidR="002103AF" w:rsidRPr="0011782D" w:rsidRDefault="002103AF" w:rsidP="0011782D">
      <w:pPr>
        <w:pStyle w:val="ab"/>
        <w:numPr>
          <w:ilvl w:val="0"/>
          <w:numId w:val="26"/>
        </w:numPr>
        <w:ind w:left="567"/>
      </w:pPr>
      <w:r w:rsidRPr="0011782D">
        <w:t>Банковское право Российской Федерации : Особ, часть : в 2 т.: учеб. Т. 1 / Ин-т государства и права РАН. Акад. правовой ун-т: рук. авт. коллектива и отв. ред. Г. А. Тосунян. — М. : Юристь, 2004. — С. 431-492.</w:t>
      </w:r>
    </w:p>
    <w:p w:rsidR="002103AF" w:rsidRPr="0011782D" w:rsidRDefault="002103AF" w:rsidP="0011782D">
      <w:pPr>
        <w:pStyle w:val="ab"/>
        <w:numPr>
          <w:ilvl w:val="0"/>
          <w:numId w:val="26"/>
        </w:numPr>
        <w:ind w:left="567"/>
      </w:pPr>
      <w:r w:rsidRPr="0011782D">
        <w:t>Братко, Л. Г. Банковское право России : учеб, пособие / А. Г. Братко.— М. : Юрид. лит.. 2003. — 848 с.</w:t>
      </w:r>
    </w:p>
    <w:p w:rsidR="002103AF" w:rsidRPr="0011782D" w:rsidRDefault="002103AF" w:rsidP="0011782D">
      <w:pPr>
        <w:pStyle w:val="ab"/>
        <w:numPr>
          <w:ilvl w:val="0"/>
          <w:numId w:val="26"/>
        </w:numPr>
        <w:ind w:left="567"/>
      </w:pPr>
      <w:r w:rsidRPr="0011782D">
        <w:t>Гусева И.А. Практикум по рынку ценных бумаг / И.А. Гусева. – М. Юристъ, 2012 – 135 с.</w:t>
      </w:r>
    </w:p>
    <w:p w:rsidR="002103AF" w:rsidRPr="0011782D" w:rsidRDefault="002103AF" w:rsidP="0011782D">
      <w:pPr>
        <w:pStyle w:val="ab"/>
        <w:numPr>
          <w:ilvl w:val="0"/>
          <w:numId w:val="26"/>
        </w:numPr>
        <w:ind w:left="567"/>
      </w:pPr>
      <w:r w:rsidRPr="0011782D">
        <w:t>Иванов О.М. Коментарии к концепции совершенствования законодательства о ценных бумагах и финансовых сделках /О.М. Иванов // Проблемы совершенствования гражданского законодательства: Проблемы совершенсвтования гражданского законодательства: Материалы IV Ежегодных научных чтений памяти профессора С.Н. Братоуся ( Москва, 28 марта 2013 г.) – М. Юриспруденция, 2013г. – С. 143-150.</w:t>
      </w:r>
    </w:p>
    <w:p w:rsidR="002103AF" w:rsidRPr="0011782D" w:rsidRDefault="002103AF" w:rsidP="0011782D">
      <w:pPr>
        <w:pStyle w:val="ab"/>
        <w:numPr>
          <w:ilvl w:val="0"/>
          <w:numId w:val="26"/>
        </w:numPr>
        <w:ind w:left="567"/>
      </w:pPr>
      <w:r w:rsidRPr="0011782D">
        <w:t>Кирюшкина В.В. Перспективы развития рынка ценных бумаг / В.В. Кирюшкина // Российское право на современном этапе. Материалы международной научной конференции студентов и молодых ученых. – Ростов-на-Дону: Изд-во РГЭУ, 2014. –С. 158-159.</w:t>
      </w:r>
    </w:p>
    <w:p w:rsidR="002103AF" w:rsidRPr="0011782D" w:rsidRDefault="002103AF" w:rsidP="0011782D">
      <w:pPr>
        <w:pStyle w:val="ab"/>
        <w:numPr>
          <w:ilvl w:val="0"/>
          <w:numId w:val="26"/>
        </w:numPr>
        <w:ind w:left="567"/>
      </w:pPr>
      <w:r w:rsidRPr="0011782D">
        <w:t>Кормой/, Ю. И. Банки на фондовом рынке : правовое регули</w:t>
      </w:r>
      <w:r w:rsidRPr="0011782D">
        <w:softHyphen/>
        <w:t>рование : учеб.-практ. пособие / Ю. И. Кормош. — М.: Дело, 2002. — 288 с.</w:t>
      </w:r>
    </w:p>
    <w:p w:rsidR="002103AF" w:rsidRPr="0011782D" w:rsidRDefault="002103AF" w:rsidP="0011782D">
      <w:pPr>
        <w:pStyle w:val="ab"/>
        <w:numPr>
          <w:ilvl w:val="0"/>
          <w:numId w:val="26"/>
        </w:numPr>
        <w:ind w:left="567"/>
      </w:pPr>
      <w:r w:rsidRPr="0011782D">
        <w:t>Микова Е.В. Анализ видов профессиональной деятельности коммерческих банков на рынке ценных бумаг /Е.В. Микова // Право и образование. – 2012. № 9. – С. 158-168.</w:t>
      </w:r>
    </w:p>
    <w:p w:rsidR="002103AF" w:rsidRPr="0011782D" w:rsidRDefault="002103AF" w:rsidP="0011782D">
      <w:pPr>
        <w:pStyle w:val="ab"/>
        <w:numPr>
          <w:ilvl w:val="0"/>
          <w:numId w:val="26"/>
        </w:numPr>
        <w:ind w:left="567"/>
      </w:pPr>
      <w:r w:rsidRPr="0011782D">
        <w:t>Мухаметшин Т.Ф. Брокерская деятельность банков на рынке ценных бумаг в России/ Т.Ф. Мухаметшин. – М., 2009, -231 с.</w:t>
      </w:r>
    </w:p>
    <w:p w:rsidR="002103AF" w:rsidRPr="0011782D" w:rsidRDefault="002103AF" w:rsidP="0011782D">
      <w:pPr>
        <w:pStyle w:val="ab"/>
        <w:numPr>
          <w:ilvl w:val="0"/>
          <w:numId w:val="26"/>
        </w:numPr>
        <w:ind w:left="567"/>
      </w:pPr>
      <w:r w:rsidRPr="0011782D">
        <w:t>Потосова А.С. Информационное обеспечение рынка ценных бумаг сравнительно-правовой анализ. Автореф. Дис. Канд. Юрид. Наук. // А.С. Потосова – Ростов-на-Дону, 2011. – 31 с.</w:t>
      </w:r>
    </w:p>
    <w:p w:rsidR="002103AF" w:rsidRPr="0011782D" w:rsidRDefault="002103AF" w:rsidP="0011782D">
      <w:pPr>
        <w:pStyle w:val="ab"/>
        <w:numPr>
          <w:ilvl w:val="0"/>
          <w:numId w:val="26"/>
        </w:numPr>
        <w:ind w:left="567"/>
      </w:pPr>
      <w:r w:rsidRPr="0011782D">
        <w:t>Саперов, С. А. Банковское право: теория и практика / С. А. Са</w:t>
      </w:r>
      <w:r w:rsidRPr="0011782D">
        <w:softHyphen/>
        <w:t>перов. — М.: Экономика. 2003. — 640 с.</w:t>
      </w:r>
    </w:p>
    <w:p w:rsidR="002103AF" w:rsidRPr="0011782D" w:rsidRDefault="002103AF" w:rsidP="0011782D">
      <w:pPr>
        <w:pStyle w:val="ab"/>
        <w:numPr>
          <w:ilvl w:val="0"/>
          <w:numId w:val="26"/>
        </w:numPr>
        <w:ind w:left="567"/>
      </w:pPr>
      <w:r w:rsidRPr="0011782D">
        <w:t>Тедеев, А. А. Банковское право : учеб. / А. А. Тедеев. — М. : Эксмо. 2005. — 432 с.</w:t>
      </w:r>
    </w:p>
    <w:p w:rsidR="002103AF" w:rsidRPr="0011782D" w:rsidRDefault="002103AF" w:rsidP="0011782D">
      <w:pPr>
        <w:pStyle w:val="ab"/>
        <w:numPr>
          <w:ilvl w:val="0"/>
          <w:numId w:val="26"/>
        </w:numPr>
        <w:ind w:left="567"/>
      </w:pPr>
      <w:r w:rsidRPr="0011782D">
        <w:t>Чикулаев Р.В. Вопросы эмиссионных ценных бумаг как объектов гражданско-правовых сделок /Р.В. Чикулаев // Журнал российского права. – 2008, -№10. – С. 71-75.</w:t>
      </w:r>
    </w:p>
    <w:p w:rsidR="002103AF" w:rsidRPr="0011782D" w:rsidRDefault="002103AF" w:rsidP="0011782D">
      <w:pPr>
        <w:pStyle w:val="ab"/>
        <w:numPr>
          <w:ilvl w:val="0"/>
          <w:numId w:val="26"/>
        </w:numPr>
        <w:ind w:left="567"/>
      </w:pPr>
      <w:r w:rsidRPr="0011782D">
        <w:t>Эриашвили, Н. Д Банковское право : учеб. / Н. Д. Эриашвили. — М. : ЮНИТИ : Закон и право. 2009. — С. 471-488.</w:t>
      </w:r>
    </w:p>
    <w:p w:rsidR="00396584" w:rsidRPr="0011782D" w:rsidRDefault="00396584" w:rsidP="00396584">
      <w:pPr>
        <w:pStyle w:val="ab"/>
        <w:rPr>
          <w:b/>
          <w:lang w:val="en-US"/>
        </w:rPr>
      </w:pPr>
      <w:r w:rsidRPr="0011782D">
        <w:rPr>
          <w:b/>
        </w:rPr>
        <w:t>Судебная практика</w:t>
      </w:r>
      <w:r w:rsidRPr="0011782D">
        <w:rPr>
          <w:b/>
          <w:lang w:val="en-US"/>
        </w:rPr>
        <w:t>:</w:t>
      </w:r>
    </w:p>
    <w:p w:rsidR="00396584" w:rsidRPr="001F7B9D" w:rsidRDefault="00396584" w:rsidP="0011782D">
      <w:pPr>
        <w:pStyle w:val="a4"/>
        <w:numPr>
          <w:ilvl w:val="0"/>
          <w:numId w:val="28"/>
        </w:numPr>
        <w:ind w:left="567" w:hanging="283"/>
      </w:pPr>
      <w:r w:rsidRPr="001F7B9D">
        <w:t xml:space="preserve">Постановление ФАС Северо-Кавказского окрута от 3 </w:t>
      </w:r>
      <w:r w:rsidRPr="001F7B9D">
        <w:rPr>
          <w:rFonts w:eastAsia="Bookman Old Style"/>
        </w:rPr>
        <w:t xml:space="preserve">июня </w:t>
      </w:r>
      <w:r w:rsidRPr="001F7B9D">
        <w:t>20</w:t>
      </w:r>
      <w:r w:rsidR="00AC46B8" w:rsidRPr="00E429C1">
        <w:t>12</w:t>
      </w:r>
      <w:r w:rsidRPr="001F7B9D">
        <w:t xml:space="preserve"> г. № Ф08-1970/2013 [Электронный ресурс] // СПС Гарант [Справочно- поисковая система]</w:t>
      </w:r>
    </w:p>
    <w:p w:rsidR="00396584" w:rsidRPr="001F7B9D" w:rsidRDefault="00396584" w:rsidP="0011782D">
      <w:pPr>
        <w:pStyle w:val="a4"/>
        <w:numPr>
          <w:ilvl w:val="0"/>
          <w:numId w:val="28"/>
        </w:numPr>
        <w:ind w:left="567" w:hanging="283"/>
      </w:pPr>
      <w:r w:rsidRPr="001F7B9D">
        <w:t xml:space="preserve">Постановление Федерального арбитражною суда Центральною округл от 18 апреля 2012 г. </w:t>
      </w:r>
      <w:r w:rsidRPr="001F7B9D">
        <w:rPr>
          <w:rFonts w:eastAsia="Bookman Old Style"/>
        </w:rPr>
        <w:t>№ А08-305/09-8</w:t>
      </w:r>
      <w:r w:rsidRPr="001F7B9D">
        <w:t xml:space="preserve"> (Электронный ресурс] // СПС Гарант (Справочно-поисковая система].</w:t>
      </w:r>
    </w:p>
    <w:sectPr w:rsidR="00396584" w:rsidRPr="001F7B9D" w:rsidSect="002103AF">
      <w:footerReference w:type="default" r:id="rId10"/>
      <w:footnotePr>
        <w:numRestart w:val="eachPage"/>
      </w:footnotePr>
      <w:type w:val="continuous"/>
      <w:pgSz w:w="11906" w:h="16838"/>
      <w:pgMar w:top="1134" w:right="850" w:bottom="1134" w:left="1701" w:header="708" w:footer="708" w:gutter="0"/>
      <w:pgNumType w:start="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3D9" w:rsidRDefault="00C443D9" w:rsidP="00396584">
      <w:r>
        <w:separator/>
      </w:r>
    </w:p>
  </w:endnote>
  <w:endnote w:type="continuationSeparator" w:id="0">
    <w:p w:rsidR="00C443D9" w:rsidRDefault="00C443D9" w:rsidP="0039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A97" w:rsidRDefault="00C443D9">
    <w:pPr>
      <w:pStyle w:val="ac"/>
      <w:jc w:val="center"/>
    </w:pPr>
    <w:r>
      <w:fldChar w:fldCharType="begin"/>
    </w:r>
    <w:r>
      <w:instrText xml:space="preserve"> PAGE   \* MERGEFORMAT </w:instrText>
    </w:r>
    <w:r>
      <w:fldChar w:fldCharType="separate"/>
    </w:r>
    <w:r w:rsidR="0049675F">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3D9" w:rsidRDefault="00C443D9" w:rsidP="00396584">
      <w:r>
        <w:separator/>
      </w:r>
    </w:p>
  </w:footnote>
  <w:footnote w:type="continuationSeparator" w:id="0">
    <w:p w:rsidR="00C443D9" w:rsidRDefault="00C443D9" w:rsidP="00396584">
      <w:r>
        <w:continuationSeparator/>
      </w:r>
    </w:p>
  </w:footnote>
  <w:footnote w:id="1">
    <w:p w:rsidR="00396584" w:rsidRPr="00404993" w:rsidRDefault="00396584" w:rsidP="00404993">
      <w:pPr>
        <w:pStyle w:val="a5"/>
        <w:spacing w:line="240" w:lineRule="auto"/>
        <w:ind w:firstLine="0"/>
      </w:pPr>
      <w:r w:rsidRPr="00404993">
        <w:rPr>
          <w:rStyle w:val="a7"/>
        </w:rPr>
        <w:footnoteRef/>
      </w:r>
      <w:r w:rsidRPr="00404993">
        <w:t xml:space="preserve"> Антимонопольная политика и развитие конкуренции на финансовом рынке: Монография. /Л.И. Барон, А.В. Данилова, Р.А. Кокорев и др. - М.: ТЕИС. 2012. – 187 с.</w:t>
      </w:r>
    </w:p>
  </w:footnote>
  <w:footnote w:id="2">
    <w:p w:rsidR="00396584" w:rsidRPr="00404993" w:rsidRDefault="00396584" w:rsidP="00404993">
      <w:pPr>
        <w:pStyle w:val="a5"/>
        <w:spacing w:line="240" w:lineRule="auto"/>
        <w:ind w:firstLine="0"/>
      </w:pPr>
      <w:r w:rsidRPr="00404993">
        <w:rPr>
          <w:rStyle w:val="a7"/>
        </w:rPr>
        <w:footnoteRef/>
      </w:r>
      <w:r w:rsidRPr="00404993">
        <w:t xml:space="preserve"> Конституция Российской Федерации, принята всенародным голосованием 12.12.1993. // Рос.газ. - 1993. - № 237. Ст. 28</w:t>
      </w:r>
    </w:p>
  </w:footnote>
  <w:footnote w:id="3">
    <w:p w:rsidR="00396584" w:rsidRPr="00404993" w:rsidRDefault="00396584" w:rsidP="00404993">
      <w:pPr>
        <w:pStyle w:val="a5"/>
        <w:spacing w:line="240" w:lineRule="auto"/>
        <w:ind w:firstLine="0"/>
      </w:pPr>
      <w:r w:rsidRPr="00404993">
        <w:rPr>
          <w:rStyle w:val="a7"/>
        </w:rPr>
        <w:footnoteRef/>
      </w:r>
      <w:r w:rsidRPr="00404993">
        <w:t xml:space="preserve"> Федеральный закон от 22.04.1996 N 39-ФЗ (ред. от 06.04.2015) "О рынке ценных бумаг" ст. 2</w:t>
      </w:r>
    </w:p>
  </w:footnote>
  <w:footnote w:id="4">
    <w:p w:rsidR="00396584" w:rsidRPr="00404993" w:rsidRDefault="00396584" w:rsidP="00404993">
      <w:pPr>
        <w:pStyle w:val="a5"/>
        <w:spacing w:line="240" w:lineRule="auto"/>
        <w:ind w:firstLine="0"/>
      </w:pPr>
      <w:r w:rsidRPr="00404993">
        <w:rPr>
          <w:rStyle w:val="a7"/>
        </w:rPr>
        <w:footnoteRef/>
      </w:r>
      <w:r w:rsidRPr="00404993">
        <w:t xml:space="preserve"> Федеральный закон от 22.04.1996 N 39-ФЗ (ред. от 06.04.2015) "О рынке ценных бумаг" ст. 2</w:t>
      </w:r>
    </w:p>
  </w:footnote>
  <w:footnote w:id="5">
    <w:p w:rsidR="00396584" w:rsidRPr="00404993" w:rsidRDefault="00396584" w:rsidP="00404993">
      <w:pPr>
        <w:pStyle w:val="a5"/>
        <w:spacing w:line="240" w:lineRule="auto"/>
        <w:ind w:firstLine="0"/>
      </w:pPr>
      <w:r w:rsidRPr="00404993">
        <w:rPr>
          <w:rStyle w:val="a7"/>
        </w:rPr>
        <w:footnoteRef/>
      </w:r>
      <w:r w:rsidR="00754844" w:rsidRPr="00404993">
        <w:t xml:space="preserve"> </w:t>
      </w:r>
      <w:r w:rsidRPr="00404993">
        <w:t>Витрянский В.В. Комментарий к Гражданскому кодексу РФ /В.В. Витрянский. - М., 2009. – 654 с.</w:t>
      </w:r>
    </w:p>
  </w:footnote>
  <w:footnote w:id="6">
    <w:p w:rsidR="00396584" w:rsidRPr="00404993" w:rsidRDefault="00396584" w:rsidP="00404993">
      <w:pPr>
        <w:pStyle w:val="a5"/>
        <w:spacing w:line="240" w:lineRule="auto"/>
        <w:ind w:firstLine="0"/>
      </w:pPr>
      <w:r w:rsidRPr="00404993">
        <w:rPr>
          <w:rStyle w:val="a7"/>
        </w:rPr>
        <w:footnoteRef/>
      </w:r>
      <w:r w:rsidR="00754844" w:rsidRPr="00404993">
        <w:t xml:space="preserve"> </w:t>
      </w:r>
      <w:r w:rsidRPr="00404993">
        <w:t>Витрянский В.В. Комментарий к Гражданскому кодексу РФ /В.В. Витрянский. - М., 2009. – 621 с.</w:t>
      </w:r>
    </w:p>
  </w:footnote>
  <w:footnote w:id="7">
    <w:p w:rsidR="00396584" w:rsidRPr="00404993" w:rsidRDefault="00396584" w:rsidP="00404993">
      <w:pPr>
        <w:spacing w:line="240" w:lineRule="auto"/>
        <w:ind w:firstLine="0"/>
        <w:rPr>
          <w:sz w:val="20"/>
          <w:szCs w:val="20"/>
        </w:rPr>
      </w:pPr>
      <w:r w:rsidRPr="00404993">
        <w:rPr>
          <w:rStyle w:val="a7"/>
          <w:sz w:val="20"/>
          <w:szCs w:val="20"/>
        </w:rPr>
        <w:footnoteRef/>
      </w:r>
      <w:r w:rsidRPr="00404993">
        <w:rPr>
          <w:sz w:val="20"/>
          <w:szCs w:val="20"/>
        </w:rPr>
        <w:t>Дубинчина С. Обращение долевых ценных бумаг российских банков /С. Дубинчина // Корпоративный юрист. – 2007. - № 3. – С. 13-17.</w:t>
      </w:r>
    </w:p>
  </w:footnote>
  <w:footnote w:id="8">
    <w:p w:rsidR="00396584" w:rsidRPr="00404993" w:rsidRDefault="00396584" w:rsidP="00404993">
      <w:pPr>
        <w:pStyle w:val="a5"/>
        <w:spacing w:line="240" w:lineRule="auto"/>
        <w:ind w:firstLine="0"/>
      </w:pPr>
      <w:r w:rsidRPr="00404993">
        <w:rPr>
          <w:rStyle w:val="a7"/>
        </w:rPr>
        <w:footnoteRef/>
      </w:r>
      <w:r w:rsidR="00754844" w:rsidRPr="00404993">
        <w:t xml:space="preserve"> </w:t>
      </w:r>
      <w:r w:rsidRPr="00404993">
        <w:t>Витрянский В.В. Комментарий к Гражданскому кодексу РФ /В.В. Витрянский. - М., 2009. – 621 с.</w:t>
      </w:r>
    </w:p>
  </w:footnote>
  <w:footnote w:id="9">
    <w:p w:rsidR="00396584" w:rsidRPr="00404993" w:rsidRDefault="00396584" w:rsidP="00404993">
      <w:pPr>
        <w:pStyle w:val="a5"/>
        <w:spacing w:line="240" w:lineRule="auto"/>
        <w:ind w:firstLine="0"/>
      </w:pPr>
      <w:r w:rsidRPr="00404993">
        <w:rPr>
          <w:rStyle w:val="a7"/>
        </w:rPr>
        <w:footnoteRef/>
      </w:r>
      <w:r w:rsidR="00754844" w:rsidRPr="00404993">
        <w:t xml:space="preserve"> </w:t>
      </w:r>
      <w:r w:rsidRPr="00404993">
        <w:t>Витрянский В.В. Комментарий к Гражданскому кодексу РФ /В.В. Витрянский. - М., 2009. – 621 с.</w:t>
      </w:r>
    </w:p>
  </w:footnote>
  <w:footnote w:id="10">
    <w:p w:rsidR="00396584" w:rsidRPr="00404993" w:rsidRDefault="00396584" w:rsidP="00404993">
      <w:pPr>
        <w:pStyle w:val="a5"/>
        <w:spacing w:line="240" w:lineRule="auto"/>
        <w:ind w:firstLine="0"/>
      </w:pPr>
      <w:r w:rsidRPr="00404993">
        <w:rPr>
          <w:rStyle w:val="a7"/>
        </w:rPr>
        <w:footnoteRef/>
      </w:r>
      <w:r w:rsidRPr="00404993">
        <w:t xml:space="preserve"> Белов В.А. Ценные бумаги в российском гражданском праве /В.А. Белов. - М., 2011. – 348 с.</w:t>
      </w:r>
    </w:p>
  </w:footnote>
  <w:footnote w:id="11">
    <w:p w:rsidR="00396584" w:rsidRPr="00404993" w:rsidRDefault="00396584" w:rsidP="00404993">
      <w:pPr>
        <w:pStyle w:val="a5"/>
        <w:spacing w:line="240" w:lineRule="auto"/>
        <w:ind w:firstLine="0"/>
      </w:pPr>
      <w:r w:rsidRPr="00404993">
        <w:rPr>
          <w:rStyle w:val="a7"/>
        </w:rPr>
        <w:footnoteRef/>
      </w:r>
      <w:r w:rsidRPr="00404993">
        <w:t xml:space="preserve"> Антимонопольная политика и развитие конкуренции на финансовом рынке: Монография. /Л.И. Барон, А.В. Данилова, Р.А. Кокорев и др. - М.: ТЕИС. 2012. – 187 с.</w:t>
      </w:r>
    </w:p>
  </w:footnote>
  <w:footnote w:id="12">
    <w:p w:rsidR="00396584" w:rsidRPr="00404993" w:rsidRDefault="00396584" w:rsidP="00404993">
      <w:pPr>
        <w:pStyle w:val="a5"/>
        <w:spacing w:line="240" w:lineRule="auto"/>
        <w:ind w:firstLine="0"/>
      </w:pPr>
      <w:r w:rsidRPr="00404993">
        <w:rPr>
          <w:rStyle w:val="a7"/>
        </w:rPr>
        <w:footnoteRef/>
      </w:r>
      <w:r w:rsidR="00754844" w:rsidRPr="00404993">
        <w:t xml:space="preserve"> </w:t>
      </w:r>
      <w:r w:rsidRPr="00404993">
        <w:t>Чикулаев Р.В. Вопросы эмиссионных ценных бумаг как объектов гражданско-правовых сделок /Р.В. Чикулаев // Журнал российского права. – 2008. - № 10. – С. 71-75.</w:t>
      </w:r>
    </w:p>
  </w:footnote>
  <w:footnote w:id="13">
    <w:p w:rsidR="00396584" w:rsidRPr="00404993" w:rsidRDefault="00396584" w:rsidP="00404993">
      <w:pPr>
        <w:pStyle w:val="a5"/>
        <w:spacing w:line="240" w:lineRule="auto"/>
        <w:ind w:firstLine="0"/>
      </w:pPr>
      <w:r w:rsidRPr="00404993">
        <w:rPr>
          <w:rStyle w:val="a7"/>
        </w:rPr>
        <w:footnoteRef/>
      </w:r>
      <w:r w:rsidR="00754844" w:rsidRPr="00404993">
        <w:t xml:space="preserve"> </w:t>
      </w:r>
      <w:r w:rsidRPr="00404993">
        <w:t>Мухаметшин Т.Ф. Брокерская деятельность банков на рынке ценных бумаг в России: правовое регулирование /Т.Ф. Мухаметшин. - М., 2009. – 231 с.</w:t>
      </w:r>
    </w:p>
  </w:footnote>
  <w:footnote w:id="14">
    <w:p w:rsidR="00396584" w:rsidRPr="00404993" w:rsidRDefault="00396584" w:rsidP="00404993">
      <w:pPr>
        <w:pStyle w:val="a5"/>
        <w:spacing w:line="240" w:lineRule="auto"/>
        <w:ind w:firstLine="0"/>
      </w:pPr>
      <w:r w:rsidRPr="00404993">
        <w:rPr>
          <w:rStyle w:val="a7"/>
        </w:rPr>
        <w:footnoteRef/>
      </w:r>
      <w:r w:rsidR="00754844" w:rsidRPr="00404993">
        <w:t xml:space="preserve"> </w:t>
      </w:r>
      <w:r w:rsidRPr="00404993">
        <w:t>Мухаметшин Т. Актуальные проблемы защиты прав инвесторов на рынке ценных бумаг (на примере брокерской деятельности банков) /Т. Мухаметшин // Хозяйство и право. – 2008. - № 12. – С. 3-21.</w:t>
      </w:r>
    </w:p>
  </w:footnote>
  <w:footnote w:id="15">
    <w:p w:rsidR="00396584" w:rsidRPr="00404993" w:rsidRDefault="00396584" w:rsidP="00404993">
      <w:pPr>
        <w:pStyle w:val="a5"/>
        <w:spacing w:line="240" w:lineRule="auto"/>
        <w:ind w:firstLine="0"/>
      </w:pPr>
      <w:r w:rsidRPr="00404993">
        <w:rPr>
          <w:rStyle w:val="a7"/>
        </w:rPr>
        <w:footnoteRef/>
      </w:r>
      <w:r w:rsidRPr="00404993">
        <w:t xml:space="preserve"> Лялин В.А. Ценные бумаги и фондовая биржа /В.А. Лялин, П.В. Воробьев. - М., 2012. – 193 с.</w:t>
      </w:r>
    </w:p>
  </w:footnote>
  <w:footnote w:id="16">
    <w:p w:rsidR="00396584" w:rsidRPr="00404993" w:rsidRDefault="00396584" w:rsidP="00404993">
      <w:pPr>
        <w:pStyle w:val="a5"/>
        <w:spacing w:line="240" w:lineRule="auto"/>
        <w:ind w:firstLine="0"/>
      </w:pPr>
      <w:r w:rsidRPr="00404993">
        <w:rPr>
          <w:rStyle w:val="a7"/>
        </w:rPr>
        <w:footnoteRef/>
      </w:r>
      <w:r w:rsidRPr="00404993">
        <w:t xml:space="preserve"> Деньги, кредит, банки: Учебник / Под ред. Лаврушина О.И. – 3-е изд., перераб. и доп. – М.: КНОРУС, 2012. –с. 282</w:t>
      </w:r>
    </w:p>
  </w:footnote>
  <w:footnote w:id="17">
    <w:p w:rsidR="00396584" w:rsidRPr="00404993" w:rsidRDefault="00396584" w:rsidP="00404993">
      <w:pPr>
        <w:pStyle w:val="a5"/>
        <w:spacing w:line="240" w:lineRule="auto"/>
        <w:ind w:firstLine="0"/>
      </w:pPr>
      <w:r w:rsidRPr="00404993">
        <w:rPr>
          <w:rStyle w:val="a7"/>
        </w:rPr>
        <w:footnoteRef/>
      </w:r>
      <w:r w:rsidRPr="00404993">
        <w:t xml:space="preserve"> Деньги, кредит, банки: Учебник / Под ред. Лаврушина О.И. – 3-е изд., перераб. и доп. – М.: КНОРУС, 2012. –с. 286</w:t>
      </w:r>
    </w:p>
  </w:footnote>
  <w:footnote w:id="18">
    <w:p w:rsidR="00396584" w:rsidRPr="00404993" w:rsidRDefault="00396584" w:rsidP="00404993">
      <w:pPr>
        <w:pStyle w:val="a5"/>
        <w:spacing w:line="240" w:lineRule="auto"/>
        <w:ind w:firstLine="0"/>
      </w:pPr>
      <w:r w:rsidRPr="00404993">
        <w:rPr>
          <w:rStyle w:val="a7"/>
        </w:rPr>
        <w:footnoteRef/>
      </w:r>
      <w:r w:rsidRPr="00404993">
        <w:t xml:space="preserve"> Белоглазова Г. Н., Кроливецкая Л. П. Банковское дело. Учебник. – М.: «Финансы и статистика», 2013. –с. 192</w:t>
      </w:r>
    </w:p>
  </w:footnote>
  <w:footnote w:id="19">
    <w:p w:rsidR="00396584" w:rsidRPr="00404993" w:rsidRDefault="00396584" w:rsidP="00404993">
      <w:pPr>
        <w:pStyle w:val="a5"/>
        <w:spacing w:line="240" w:lineRule="auto"/>
        <w:ind w:firstLine="0"/>
      </w:pPr>
      <w:r w:rsidRPr="00404993">
        <w:rPr>
          <w:rStyle w:val="a7"/>
        </w:rPr>
        <w:footnoteRef/>
      </w:r>
      <w:r w:rsidRPr="00404993">
        <w:t xml:space="preserve"> Смирнов П.С. Анализ операций коммерческого банка с ценными бумагами. // Банковское дело, 2013, №4, с.37.</w:t>
      </w:r>
    </w:p>
  </w:footnote>
  <w:footnote w:id="20">
    <w:p w:rsidR="00866313" w:rsidRPr="00404993" w:rsidRDefault="00866313" w:rsidP="00404993">
      <w:pPr>
        <w:pStyle w:val="a5"/>
        <w:ind w:firstLine="0"/>
      </w:pPr>
      <w:r w:rsidRPr="00404993">
        <w:rPr>
          <w:rStyle w:val="a7"/>
        </w:rPr>
        <w:footnoteRef/>
      </w:r>
      <w:r w:rsidRPr="00404993">
        <w:t xml:space="preserve"> Алексеева, Д Г. Банковское право : учеб, пособие / Д. Г. Алек</w:t>
      </w:r>
      <w:r w:rsidRPr="00404993">
        <w:softHyphen/>
        <w:t>сеева. С. В. Пыхтин. Е. Г. Хоменко : М-во образования и науки Россий</w:t>
      </w:r>
      <w:r w:rsidRPr="00404993">
        <w:softHyphen/>
        <w:t>ской Федерации. Моек. гос. юрид. акад. — 3-е изд., перераб. и доп. — М. : Юристь. 2007. — С. 489-537</w:t>
      </w:r>
    </w:p>
  </w:footnote>
  <w:footnote w:id="21">
    <w:p w:rsidR="00396584" w:rsidRPr="00404993" w:rsidRDefault="00396584" w:rsidP="00404993">
      <w:pPr>
        <w:pStyle w:val="a5"/>
        <w:spacing w:line="240" w:lineRule="auto"/>
        <w:ind w:firstLine="0"/>
      </w:pPr>
      <w:r w:rsidRPr="00404993">
        <w:rPr>
          <w:rStyle w:val="a7"/>
        </w:rPr>
        <w:footnoteRef/>
      </w:r>
      <w:r w:rsidRPr="00404993">
        <w:t xml:space="preserve"> Голубкин П. А., Трофимов Н. В. Банковское дело. Учебник. –М.: Дело, 2011. –с. 312</w:t>
      </w:r>
    </w:p>
  </w:footnote>
  <w:footnote w:id="22">
    <w:p w:rsidR="00396584" w:rsidRPr="00404993" w:rsidRDefault="00396584" w:rsidP="00404993">
      <w:pPr>
        <w:pStyle w:val="a5"/>
        <w:spacing w:line="240" w:lineRule="auto"/>
        <w:ind w:firstLine="0"/>
      </w:pPr>
      <w:r w:rsidRPr="00404993">
        <w:rPr>
          <w:rStyle w:val="a7"/>
        </w:rPr>
        <w:footnoteRef/>
      </w:r>
      <w:r w:rsidRPr="00404993">
        <w:t xml:space="preserve"> Голубкин П. А., Трофимов Н. В. Банковское дело. Учебник. –М.: Дело, 2013. –с. 315</w:t>
      </w:r>
    </w:p>
  </w:footnote>
  <w:footnote w:id="23">
    <w:p w:rsidR="00396584" w:rsidRPr="00404993" w:rsidRDefault="00396584" w:rsidP="00404993">
      <w:pPr>
        <w:pStyle w:val="a5"/>
        <w:spacing w:line="240" w:lineRule="auto"/>
        <w:ind w:firstLine="0"/>
      </w:pPr>
      <w:r w:rsidRPr="00404993">
        <w:rPr>
          <w:rStyle w:val="a7"/>
        </w:rPr>
        <w:footnoteRef/>
      </w:r>
      <w:r w:rsidRPr="00404993">
        <w:t xml:space="preserve"> </w:t>
      </w:r>
      <w:r w:rsidRPr="00404993">
        <w:rPr>
          <w:shd w:val="clear" w:color="auto" w:fill="FFFFFF"/>
        </w:rPr>
        <w:t>Татьяна Конищева. Российские акции стали лакомым блюдом - Российская бизнес-газета, 12 октября 2012 г. С. 15</w:t>
      </w:r>
    </w:p>
  </w:footnote>
  <w:footnote w:id="24">
    <w:p w:rsidR="00396584" w:rsidRPr="00404993" w:rsidRDefault="00396584" w:rsidP="00404993">
      <w:pPr>
        <w:pStyle w:val="a5"/>
        <w:spacing w:line="240" w:lineRule="auto"/>
        <w:ind w:firstLine="0"/>
      </w:pPr>
      <w:r w:rsidRPr="00404993">
        <w:rPr>
          <w:rStyle w:val="a7"/>
        </w:rPr>
        <w:footnoteRef/>
      </w:r>
      <w:r w:rsidRPr="00404993">
        <w:t xml:space="preserve"> Тайны </w:t>
      </w:r>
      <w:r w:rsidRPr="00404993">
        <w:rPr>
          <w:shd w:val="clear" w:color="auto" w:fill="FFFFFF"/>
        </w:rPr>
        <w:t>монетарного двора. - Российская газета, № 193, 01.09.2011, С. 19.</w:t>
      </w:r>
    </w:p>
  </w:footnote>
  <w:footnote w:id="25">
    <w:p w:rsidR="00396584" w:rsidRPr="00404993" w:rsidRDefault="00396584" w:rsidP="00404993">
      <w:pPr>
        <w:pStyle w:val="ab"/>
        <w:spacing w:line="240" w:lineRule="auto"/>
        <w:ind w:left="0" w:firstLine="0"/>
        <w:rPr>
          <w:sz w:val="20"/>
          <w:szCs w:val="20"/>
        </w:rPr>
      </w:pPr>
      <w:r w:rsidRPr="00404993">
        <w:rPr>
          <w:rStyle w:val="a7"/>
          <w:sz w:val="20"/>
          <w:szCs w:val="20"/>
        </w:rPr>
        <w:footnoteRef/>
      </w:r>
      <w:r w:rsidRPr="00404993">
        <w:rPr>
          <w:sz w:val="20"/>
          <w:szCs w:val="20"/>
        </w:rPr>
        <w:t xml:space="preserve"> Микова Е.В. Анализ видов профессиональной деятельности коммерческих банков на рынке ценных бумаг /Е.В. Микова // Право и образование. – 2012. № 9. – С. 158-168.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
    <w:nsid w:val="07C66916"/>
    <w:multiLevelType w:val="hybridMultilevel"/>
    <w:tmpl w:val="83D27952"/>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7D11636"/>
    <w:multiLevelType w:val="hybridMultilevel"/>
    <w:tmpl w:val="8F24D19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D5F18C8"/>
    <w:multiLevelType w:val="multilevel"/>
    <w:tmpl w:val="00000004"/>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19534633"/>
    <w:multiLevelType w:val="hybridMultilevel"/>
    <w:tmpl w:val="9A8C6A5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B775F3D"/>
    <w:multiLevelType w:val="hybridMultilevel"/>
    <w:tmpl w:val="C9BE0F16"/>
    <w:lvl w:ilvl="0" w:tplc="04190001">
      <w:start w:val="1"/>
      <w:numFmt w:val="bullet"/>
      <w:lvlText w:val=""/>
      <w:lvlJc w:val="left"/>
      <w:pPr>
        <w:ind w:left="2137" w:hanging="360"/>
      </w:pPr>
      <w:rPr>
        <w:rFonts w:ascii="Symbol" w:hAnsi="Symbol" w:hint="default"/>
      </w:rPr>
    </w:lvl>
    <w:lvl w:ilvl="1" w:tplc="04190003" w:tentative="1">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7">
    <w:nsid w:val="1E6B1C8B"/>
    <w:multiLevelType w:val="hybridMultilevel"/>
    <w:tmpl w:val="77268AA2"/>
    <w:lvl w:ilvl="0" w:tplc="0419000F">
      <w:start w:val="1"/>
      <w:numFmt w:val="decimal"/>
      <w:lvlText w:val="%1."/>
      <w:lvlJc w:val="left"/>
      <w:pPr>
        <w:ind w:left="2137" w:hanging="360"/>
      </w:pPr>
      <w:rPr>
        <w:rFonts w:hint="default"/>
      </w:rPr>
    </w:lvl>
    <w:lvl w:ilvl="1" w:tplc="04190003" w:tentative="1">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8">
    <w:nsid w:val="1E753034"/>
    <w:multiLevelType w:val="hybridMultilevel"/>
    <w:tmpl w:val="001C9F8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3885756"/>
    <w:multiLevelType w:val="hybridMultilevel"/>
    <w:tmpl w:val="74E279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D571319"/>
    <w:multiLevelType w:val="hybridMultilevel"/>
    <w:tmpl w:val="A6F6A85A"/>
    <w:lvl w:ilvl="0" w:tplc="0419000F">
      <w:start w:val="1"/>
      <w:numFmt w:val="decimal"/>
      <w:lvlText w:val="%1."/>
      <w:lvlJc w:val="left"/>
      <w:pPr>
        <w:ind w:left="2137" w:hanging="360"/>
      </w:pPr>
    </w:lvl>
    <w:lvl w:ilvl="1" w:tplc="04190019" w:tentative="1">
      <w:start w:val="1"/>
      <w:numFmt w:val="lowerLetter"/>
      <w:lvlText w:val="%2."/>
      <w:lvlJc w:val="left"/>
      <w:pPr>
        <w:ind w:left="2857" w:hanging="360"/>
      </w:pPr>
    </w:lvl>
    <w:lvl w:ilvl="2" w:tplc="0419001B" w:tentative="1">
      <w:start w:val="1"/>
      <w:numFmt w:val="lowerRoman"/>
      <w:lvlText w:val="%3."/>
      <w:lvlJc w:val="right"/>
      <w:pPr>
        <w:ind w:left="3577" w:hanging="180"/>
      </w:pPr>
    </w:lvl>
    <w:lvl w:ilvl="3" w:tplc="0419000F" w:tentative="1">
      <w:start w:val="1"/>
      <w:numFmt w:val="decimal"/>
      <w:lvlText w:val="%4."/>
      <w:lvlJc w:val="left"/>
      <w:pPr>
        <w:ind w:left="4297" w:hanging="360"/>
      </w:pPr>
    </w:lvl>
    <w:lvl w:ilvl="4" w:tplc="04190019" w:tentative="1">
      <w:start w:val="1"/>
      <w:numFmt w:val="lowerLetter"/>
      <w:lvlText w:val="%5."/>
      <w:lvlJc w:val="left"/>
      <w:pPr>
        <w:ind w:left="5017" w:hanging="360"/>
      </w:pPr>
    </w:lvl>
    <w:lvl w:ilvl="5" w:tplc="0419001B" w:tentative="1">
      <w:start w:val="1"/>
      <w:numFmt w:val="lowerRoman"/>
      <w:lvlText w:val="%6."/>
      <w:lvlJc w:val="right"/>
      <w:pPr>
        <w:ind w:left="5737" w:hanging="180"/>
      </w:pPr>
    </w:lvl>
    <w:lvl w:ilvl="6" w:tplc="0419000F" w:tentative="1">
      <w:start w:val="1"/>
      <w:numFmt w:val="decimal"/>
      <w:lvlText w:val="%7."/>
      <w:lvlJc w:val="left"/>
      <w:pPr>
        <w:ind w:left="6457" w:hanging="360"/>
      </w:pPr>
    </w:lvl>
    <w:lvl w:ilvl="7" w:tplc="04190019" w:tentative="1">
      <w:start w:val="1"/>
      <w:numFmt w:val="lowerLetter"/>
      <w:lvlText w:val="%8."/>
      <w:lvlJc w:val="left"/>
      <w:pPr>
        <w:ind w:left="7177" w:hanging="360"/>
      </w:pPr>
    </w:lvl>
    <w:lvl w:ilvl="8" w:tplc="0419001B" w:tentative="1">
      <w:start w:val="1"/>
      <w:numFmt w:val="lowerRoman"/>
      <w:lvlText w:val="%9."/>
      <w:lvlJc w:val="right"/>
      <w:pPr>
        <w:ind w:left="7897" w:hanging="180"/>
      </w:pPr>
    </w:lvl>
  </w:abstractNum>
  <w:abstractNum w:abstractNumId="11">
    <w:nsid w:val="346D6C41"/>
    <w:multiLevelType w:val="hybridMultilevel"/>
    <w:tmpl w:val="3F64306C"/>
    <w:lvl w:ilvl="0" w:tplc="6E3ED2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7F61B44"/>
    <w:multiLevelType w:val="hybridMultilevel"/>
    <w:tmpl w:val="60F2941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3C6D5F53"/>
    <w:multiLevelType w:val="hybridMultilevel"/>
    <w:tmpl w:val="9880126C"/>
    <w:lvl w:ilvl="0" w:tplc="04190011">
      <w:start w:val="1"/>
      <w:numFmt w:val="decimal"/>
      <w:lvlText w:val="%1)"/>
      <w:lvlJc w:val="left"/>
      <w:pPr>
        <w:ind w:left="2137" w:hanging="360"/>
      </w:pPr>
    </w:lvl>
    <w:lvl w:ilvl="1" w:tplc="04190019" w:tentative="1">
      <w:start w:val="1"/>
      <w:numFmt w:val="lowerLetter"/>
      <w:lvlText w:val="%2."/>
      <w:lvlJc w:val="left"/>
      <w:pPr>
        <w:ind w:left="2857" w:hanging="360"/>
      </w:pPr>
    </w:lvl>
    <w:lvl w:ilvl="2" w:tplc="0419001B" w:tentative="1">
      <w:start w:val="1"/>
      <w:numFmt w:val="lowerRoman"/>
      <w:lvlText w:val="%3."/>
      <w:lvlJc w:val="right"/>
      <w:pPr>
        <w:ind w:left="3577" w:hanging="180"/>
      </w:pPr>
    </w:lvl>
    <w:lvl w:ilvl="3" w:tplc="0419000F" w:tentative="1">
      <w:start w:val="1"/>
      <w:numFmt w:val="decimal"/>
      <w:lvlText w:val="%4."/>
      <w:lvlJc w:val="left"/>
      <w:pPr>
        <w:ind w:left="4297" w:hanging="360"/>
      </w:pPr>
    </w:lvl>
    <w:lvl w:ilvl="4" w:tplc="04190019" w:tentative="1">
      <w:start w:val="1"/>
      <w:numFmt w:val="lowerLetter"/>
      <w:lvlText w:val="%5."/>
      <w:lvlJc w:val="left"/>
      <w:pPr>
        <w:ind w:left="5017" w:hanging="360"/>
      </w:pPr>
    </w:lvl>
    <w:lvl w:ilvl="5" w:tplc="0419001B" w:tentative="1">
      <w:start w:val="1"/>
      <w:numFmt w:val="lowerRoman"/>
      <w:lvlText w:val="%6."/>
      <w:lvlJc w:val="right"/>
      <w:pPr>
        <w:ind w:left="5737" w:hanging="180"/>
      </w:pPr>
    </w:lvl>
    <w:lvl w:ilvl="6" w:tplc="0419000F" w:tentative="1">
      <w:start w:val="1"/>
      <w:numFmt w:val="decimal"/>
      <w:lvlText w:val="%7."/>
      <w:lvlJc w:val="left"/>
      <w:pPr>
        <w:ind w:left="6457" w:hanging="360"/>
      </w:pPr>
    </w:lvl>
    <w:lvl w:ilvl="7" w:tplc="04190019" w:tentative="1">
      <w:start w:val="1"/>
      <w:numFmt w:val="lowerLetter"/>
      <w:lvlText w:val="%8."/>
      <w:lvlJc w:val="left"/>
      <w:pPr>
        <w:ind w:left="7177" w:hanging="360"/>
      </w:pPr>
    </w:lvl>
    <w:lvl w:ilvl="8" w:tplc="0419001B" w:tentative="1">
      <w:start w:val="1"/>
      <w:numFmt w:val="lowerRoman"/>
      <w:lvlText w:val="%9."/>
      <w:lvlJc w:val="right"/>
      <w:pPr>
        <w:ind w:left="7897" w:hanging="180"/>
      </w:pPr>
    </w:lvl>
  </w:abstractNum>
  <w:abstractNum w:abstractNumId="14">
    <w:nsid w:val="3FF7223D"/>
    <w:multiLevelType w:val="hybridMultilevel"/>
    <w:tmpl w:val="4EEC275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49D06258"/>
    <w:multiLevelType w:val="singleLevel"/>
    <w:tmpl w:val="2E4A22E4"/>
    <w:lvl w:ilvl="0">
      <w:start w:val="1"/>
      <w:numFmt w:val="decimal"/>
      <w:lvlText w:val="%1) "/>
      <w:legacy w:legacy="1" w:legacySpace="0" w:legacyIndent="283"/>
      <w:lvlJc w:val="left"/>
      <w:pPr>
        <w:ind w:left="1134" w:hanging="283"/>
      </w:pPr>
      <w:rPr>
        <w:rFonts w:ascii="Times New Roman" w:hAnsi="Times New Roman" w:cs="Times New Roman" w:hint="default"/>
        <w:b w:val="0"/>
        <w:i w:val="0"/>
        <w:sz w:val="28"/>
        <w:u w:val="none"/>
      </w:rPr>
    </w:lvl>
  </w:abstractNum>
  <w:abstractNum w:abstractNumId="16">
    <w:nsid w:val="509B1E36"/>
    <w:multiLevelType w:val="hybridMultilevel"/>
    <w:tmpl w:val="78525B6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nsid w:val="53D97CE9"/>
    <w:multiLevelType w:val="hybridMultilevel"/>
    <w:tmpl w:val="73B8D55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576F176E"/>
    <w:multiLevelType w:val="hybridMultilevel"/>
    <w:tmpl w:val="2034B3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88E11DB"/>
    <w:multiLevelType w:val="hybridMultilevel"/>
    <w:tmpl w:val="8438C7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A7049E1"/>
    <w:multiLevelType w:val="hybridMultilevel"/>
    <w:tmpl w:val="EE40AC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612F1C62"/>
    <w:multiLevelType w:val="hybridMultilevel"/>
    <w:tmpl w:val="2E7CCE6A"/>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A1045EE"/>
    <w:multiLevelType w:val="hybridMultilevel"/>
    <w:tmpl w:val="FB823EF8"/>
    <w:lvl w:ilvl="0" w:tplc="0419000F">
      <w:start w:val="1"/>
      <w:numFmt w:val="decimal"/>
      <w:lvlText w:val="%1."/>
      <w:lvlJc w:val="left"/>
      <w:pPr>
        <w:ind w:left="2137" w:hanging="360"/>
      </w:pPr>
    </w:lvl>
    <w:lvl w:ilvl="1" w:tplc="04190019" w:tentative="1">
      <w:start w:val="1"/>
      <w:numFmt w:val="lowerLetter"/>
      <w:lvlText w:val="%2."/>
      <w:lvlJc w:val="left"/>
      <w:pPr>
        <w:ind w:left="2857" w:hanging="360"/>
      </w:pPr>
    </w:lvl>
    <w:lvl w:ilvl="2" w:tplc="0419001B" w:tentative="1">
      <w:start w:val="1"/>
      <w:numFmt w:val="lowerRoman"/>
      <w:lvlText w:val="%3."/>
      <w:lvlJc w:val="right"/>
      <w:pPr>
        <w:ind w:left="3577" w:hanging="180"/>
      </w:pPr>
    </w:lvl>
    <w:lvl w:ilvl="3" w:tplc="0419000F" w:tentative="1">
      <w:start w:val="1"/>
      <w:numFmt w:val="decimal"/>
      <w:lvlText w:val="%4."/>
      <w:lvlJc w:val="left"/>
      <w:pPr>
        <w:ind w:left="4297" w:hanging="360"/>
      </w:pPr>
    </w:lvl>
    <w:lvl w:ilvl="4" w:tplc="04190019" w:tentative="1">
      <w:start w:val="1"/>
      <w:numFmt w:val="lowerLetter"/>
      <w:lvlText w:val="%5."/>
      <w:lvlJc w:val="left"/>
      <w:pPr>
        <w:ind w:left="5017" w:hanging="360"/>
      </w:pPr>
    </w:lvl>
    <w:lvl w:ilvl="5" w:tplc="0419001B" w:tentative="1">
      <w:start w:val="1"/>
      <w:numFmt w:val="lowerRoman"/>
      <w:lvlText w:val="%6."/>
      <w:lvlJc w:val="right"/>
      <w:pPr>
        <w:ind w:left="5737" w:hanging="180"/>
      </w:pPr>
    </w:lvl>
    <w:lvl w:ilvl="6" w:tplc="0419000F" w:tentative="1">
      <w:start w:val="1"/>
      <w:numFmt w:val="decimal"/>
      <w:lvlText w:val="%7."/>
      <w:lvlJc w:val="left"/>
      <w:pPr>
        <w:ind w:left="6457" w:hanging="360"/>
      </w:pPr>
    </w:lvl>
    <w:lvl w:ilvl="7" w:tplc="04190019" w:tentative="1">
      <w:start w:val="1"/>
      <w:numFmt w:val="lowerLetter"/>
      <w:lvlText w:val="%8."/>
      <w:lvlJc w:val="left"/>
      <w:pPr>
        <w:ind w:left="7177" w:hanging="360"/>
      </w:pPr>
    </w:lvl>
    <w:lvl w:ilvl="8" w:tplc="0419001B" w:tentative="1">
      <w:start w:val="1"/>
      <w:numFmt w:val="lowerRoman"/>
      <w:lvlText w:val="%9."/>
      <w:lvlJc w:val="right"/>
      <w:pPr>
        <w:ind w:left="7897" w:hanging="180"/>
      </w:pPr>
    </w:lvl>
  </w:abstractNum>
  <w:abstractNum w:abstractNumId="23">
    <w:nsid w:val="6E4D56BF"/>
    <w:multiLevelType w:val="hybridMultilevel"/>
    <w:tmpl w:val="50285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2132021"/>
    <w:multiLevelType w:val="hybridMultilevel"/>
    <w:tmpl w:val="A59E3A50"/>
    <w:lvl w:ilvl="0" w:tplc="04190011">
      <w:start w:val="1"/>
      <w:numFmt w:val="decimal"/>
      <w:lvlText w:val="%1)"/>
      <w:lvlJc w:val="left"/>
      <w:pPr>
        <w:ind w:left="2137" w:hanging="360"/>
      </w:pPr>
    </w:lvl>
    <w:lvl w:ilvl="1" w:tplc="04190019" w:tentative="1">
      <w:start w:val="1"/>
      <w:numFmt w:val="lowerLetter"/>
      <w:lvlText w:val="%2."/>
      <w:lvlJc w:val="left"/>
      <w:pPr>
        <w:ind w:left="2857" w:hanging="360"/>
      </w:pPr>
    </w:lvl>
    <w:lvl w:ilvl="2" w:tplc="0419001B" w:tentative="1">
      <w:start w:val="1"/>
      <w:numFmt w:val="lowerRoman"/>
      <w:lvlText w:val="%3."/>
      <w:lvlJc w:val="right"/>
      <w:pPr>
        <w:ind w:left="3577" w:hanging="180"/>
      </w:pPr>
    </w:lvl>
    <w:lvl w:ilvl="3" w:tplc="0419000F" w:tentative="1">
      <w:start w:val="1"/>
      <w:numFmt w:val="decimal"/>
      <w:lvlText w:val="%4."/>
      <w:lvlJc w:val="left"/>
      <w:pPr>
        <w:ind w:left="4297" w:hanging="360"/>
      </w:pPr>
    </w:lvl>
    <w:lvl w:ilvl="4" w:tplc="04190019" w:tentative="1">
      <w:start w:val="1"/>
      <w:numFmt w:val="lowerLetter"/>
      <w:lvlText w:val="%5."/>
      <w:lvlJc w:val="left"/>
      <w:pPr>
        <w:ind w:left="5017" w:hanging="360"/>
      </w:pPr>
    </w:lvl>
    <w:lvl w:ilvl="5" w:tplc="0419001B" w:tentative="1">
      <w:start w:val="1"/>
      <w:numFmt w:val="lowerRoman"/>
      <w:lvlText w:val="%6."/>
      <w:lvlJc w:val="right"/>
      <w:pPr>
        <w:ind w:left="5737" w:hanging="180"/>
      </w:pPr>
    </w:lvl>
    <w:lvl w:ilvl="6" w:tplc="0419000F" w:tentative="1">
      <w:start w:val="1"/>
      <w:numFmt w:val="decimal"/>
      <w:lvlText w:val="%7."/>
      <w:lvlJc w:val="left"/>
      <w:pPr>
        <w:ind w:left="6457" w:hanging="360"/>
      </w:pPr>
    </w:lvl>
    <w:lvl w:ilvl="7" w:tplc="04190019" w:tentative="1">
      <w:start w:val="1"/>
      <w:numFmt w:val="lowerLetter"/>
      <w:lvlText w:val="%8."/>
      <w:lvlJc w:val="left"/>
      <w:pPr>
        <w:ind w:left="7177" w:hanging="360"/>
      </w:pPr>
    </w:lvl>
    <w:lvl w:ilvl="8" w:tplc="0419001B" w:tentative="1">
      <w:start w:val="1"/>
      <w:numFmt w:val="lowerRoman"/>
      <w:lvlText w:val="%9."/>
      <w:lvlJc w:val="right"/>
      <w:pPr>
        <w:ind w:left="7897" w:hanging="180"/>
      </w:pPr>
    </w:lvl>
  </w:abstractNum>
  <w:abstractNum w:abstractNumId="25">
    <w:nsid w:val="72934EC2"/>
    <w:multiLevelType w:val="hybridMultilevel"/>
    <w:tmpl w:val="CC7AE092"/>
    <w:lvl w:ilvl="0" w:tplc="CA1C4994">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5CB31CD"/>
    <w:multiLevelType w:val="hybridMultilevel"/>
    <w:tmpl w:val="9F506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73467B0"/>
    <w:multiLevelType w:val="hybridMultilevel"/>
    <w:tmpl w:val="3B44F14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nsid w:val="7A1C50D2"/>
    <w:multiLevelType w:val="hybridMultilevel"/>
    <w:tmpl w:val="A320A7A0"/>
    <w:lvl w:ilvl="0" w:tplc="04190017">
      <w:start w:val="1"/>
      <w:numFmt w:val="lowerLetter"/>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7A4340D9"/>
    <w:multiLevelType w:val="hybridMultilevel"/>
    <w:tmpl w:val="1A569D46"/>
    <w:lvl w:ilvl="0" w:tplc="04190001">
      <w:start w:val="1"/>
      <w:numFmt w:val="bullet"/>
      <w:lvlText w:val=""/>
      <w:lvlJc w:val="left"/>
      <w:pPr>
        <w:ind w:left="1582" w:hanging="360"/>
      </w:pPr>
      <w:rPr>
        <w:rFonts w:ascii="Symbol" w:hAnsi="Symbol" w:hint="default"/>
      </w:rPr>
    </w:lvl>
    <w:lvl w:ilvl="1" w:tplc="04190003" w:tentative="1">
      <w:start w:val="1"/>
      <w:numFmt w:val="bullet"/>
      <w:lvlText w:val="o"/>
      <w:lvlJc w:val="left"/>
      <w:pPr>
        <w:ind w:left="2302" w:hanging="360"/>
      </w:pPr>
      <w:rPr>
        <w:rFonts w:ascii="Courier New" w:hAnsi="Courier New" w:cs="Courier New" w:hint="default"/>
      </w:rPr>
    </w:lvl>
    <w:lvl w:ilvl="2" w:tplc="04190005" w:tentative="1">
      <w:start w:val="1"/>
      <w:numFmt w:val="bullet"/>
      <w:lvlText w:val=""/>
      <w:lvlJc w:val="left"/>
      <w:pPr>
        <w:ind w:left="3022" w:hanging="360"/>
      </w:pPr>
      <w:rPr>
        <w:rFonts w:ascii="Wingdings" w:hAnsi="Wingdings" w:hint="default"/>
      </w:rPr>
    </w:lvl>
    <w:lvl w:ilvl="3" w:tplc="04190001" w:tentative="1">
      <w:start w:val="1"/>
      <w:numFmt w:val="bullet"/>
      <w:lvlText w:val=""/>
      <w:lvlJc w:val="left"/>
      <w:pPr>
        <w:ind w:left="3742" w:hanging="360"/>
      </w:pPr>
      <w:rPr>
        <w:rFonts w:ascii="Symbol" w:hAnsi="Symbol" w:hint="default"/>
      </w:rPr>
    </w:lvl>
    <w:lvl w:ilvl="4" w:tplc="04190003" w:tentative="1">
      <w:start w:val="1"/>
      <w:numFmt w:val="bullet"/>
      <w:lvlText w:val="o"/>
      <w:lvlJc w:val="left"/>
      <w:pPr>
        <w:ind w:left="4462" w:hanging="360"/>
      </w:pPr>
      <w:rPr>
        <w:rFonts w:ascii="Courier New" w:hAnsi="Courier New" w:cs="Courier New" w:hint="default"/>
      </w:rPr>
    </w:lvl>
    <w:lvl w:ilvl="5" w:tplc="04190005" w:tentative="1">
      <w:start w:val="1"/>
      <w:numFmt w:val="bullet"/>
      <w:lvlText w:val=""/>
      <w:lvlJc w:val="left"/>
      <w:pPr>
        <w:ind w:left="5182" w:hanging="360"/>
      </w:pPr>
      <w:rPr>
        <w:rFonts w:ascii="Wingdings" w:hAnsi="Wingdings" w:hint="default"/>
      </w:rPr>
    </w:lvl>
    <w:lvl w:ilvl="6" w:tplc="04190001" w:tentative="1">
      <w:start w:val="1"/>
      <w:numFmt w:val="bullet"/>
      <w:lvlText w:val=""/>
      <w:lvlJc w:val="left"/>
      <w:pPr>
        <w:ind w:left="5902" w:hanging="360"/>
      </w:pPr>
      <w:rPr>
        <w:rFonts w:ascii="Symbol" w:hAnsi="Symbol" w:hint="default"/>
      </w:rPr>
    </w:lvl>
    <w:lvl w:ilvl="7" w:tplc="04190003" w:tentative="1">
      <w:start w:val="1"/>
      <w:numFmt w:val="bullet"/>
      <w:lvlText w:val="o"/>
      <w:lvlJc w:val="left"/>
      <w:pPr>
        <w:ind w:left="6622" w:hanging="360"/>
      </w:pPr>
      <w:rPr>
        <w:rFonts w:ascii="Courier New" w:hAnsi="Courier New" w:cs="Courier New" w:hint="default"/>
      </w:rPr>
    </w:lvl>
    <w:lvl w:ilvl="8" w:tplc="04190005" w:tentative="1">
      <w:start w:val="1"/>
      <w:numFmt w:val="bullet"/>
      <w:lvlText w:val=""/>
      <w:lvlJc w:val="left"/>
      <w:pPr>
        <w:ind w:left="7342" w:hanging="360"/>
      </w:pPr>
      <w:rPr>
        <w:rFonts w:ascii="Wingdings" w:hAnsi="Wingdings" w:hint="default"/>
      </w:rPr>
    </w:lvl>
  </w:abstractNum>
  <w:abstractNum w:abstractNumId="30">
    <w:nsid w:val="7B9B3EC0"/>
    <w:multiLevelType w:val="hybridMultilevel"/>
    <w:tmpl w:val="511618C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
  </w:num>
  <w:num w:numId="2">
    <w:abstractNumId w:val="29"/>
  </w:num>
  <w:num w:numId="3">
    <w:abstractNumId w:val="5"/>
  </w:num>
  <w:num w:numId="4">
    <w:abstractNumId w:val="11"/>
  </w:num>
  <w:num w:numId="5">
    <w:abstractNumId w:val="27"/>
  </w:num>
  <w:num w:numId="6">
    <w:abstractNumId w:val="16"/>
  </w:num>
  <w:num w:numId="7">
    <w:abstractNumId w:val="17"/>
  </w:num>
  <w:num w:numId="8">
    <w:abstractNumId w:val="4"/>
  </w:num>
  <w:num w:numId="9">
    <w:abstractNumId w:val="14"/>
  </w:num>
  <w:num w:numId="10">
    <w:abstractNumId w:val="20"/>
  </w:num>
  <w:num w:numId="11">
    <w:abstractNumId w:val="30"/>
  </w:num>
  <w:num w:numId="12">
    <w:abstractNumId w:val="0"/>
    <w:lvlOverride w:ilvl="0">
      <w:lvl w:ilvl="0">
        <w:start w:val="1"/>
        <w:numFmt w:val="bullet"/>
        <w:lvlText w:val=""/>
        <w:legacy w:legacy="1" w:legacySpace="0" w:legacyIndent="283"/>
        <w:lvlJc w:val="left"/>
        <w:pPr>
          <w:ind w:left="1134" w:hanging="283"/>
        </w:pPr>
        <w:rPr>
          <w:rFonts w:ascii="Symbol" w:hAnsi="Symbol" w:hint="default"/>
          <w:b w:val="0"/>
          <w:i w:val="0"/>
          <w:sz w:val="28"/>
          <w:u w:val="none"/>
        </w:rPr>
      </w:lvl>
    </w:lvlOverride>
  </w:num>
  <w:num w:numId="13">
    <w:abstractNumId w:val="15"/>
  </w:num>
  <w:num w:numId="14">
    <w:abstractNumId w:val="23"/>
  </w:num>
  <w:num w:numId="15">
    <w:abstractNumId w:val="6"/>
  </w:num>
  <w:num w:numId="16">
    <w:abstractNumId w:val="7"/>
  </w:num>
  <w:num w:numId="17">
    <w:abstractNumId w:val="3"/>
  </w:num>
  <w:num w:numId="18">
    <w:abstractNumId w:val="22"/>
  </w:num>
  <w:num w:numId="19">
    <w:abstractNumId w:val="10"/>
  </w:num>
  <w:num w:numId="20">
    <w:abstractNumId w:val="28"/>
  </w:num>
  <w:num w:numId="21">
    <w:abstractNumId w:val="18"/>
  </w:num>
  <w:num w:numId="22">
    <w:abstractNumId w:val="21"/>
  </w:num>
  <w:num w:numId="23">
    <w:abstractNumId w:val="8"/>
  </w:num>
  <w:num w:numId="24">
    <w:abstractNumId w:val="26"/>
  </w:num>
  <w:num w:numId="25">
    <w:abstractNumId w:val="9"/>
  </w:num>
  <w:num w:numId="26">
    <w:abstractNumId w:val="12"/>
  </w:num>
  <w:num w:numId="27">
    <w:abstractNumId w:val="24"/>
  </w:num>
  <w:num w:numId="28">
    <w:abstractNumId w:val="13"/>
  </w:num>
  <w:num w:numId="29">
    <w:abstractNumId w:val="25"/>
  </w:num>
  <w:num w:numId="30">
    <w:abstractNumId w:val="19"/>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720"/>
  <w:drawingGridHorizontalSpacing w:val="140"/>
  <w:drawingGridVerticalSpacing w:val="181"/>
  <w:displayHorizontalDrawingGridEvery w:val="2"/>
  <w:doNotShadeFormData/>
  <w:characterSpacingControl w:val="compressPunctuation"/>
  <w:doNotValidateAgainstSchema/>
  <w:doNotDemarcateInvalidXml/>
  <w:hdrShapeDefaults>
    <o:shapedefaults v:ext="edit" spidmax="2049"/>
  </w:hdrShapeDefaults>
  <w:footnotePr>
    <w:numRestart w:val="eachPage"/>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CE1"/>
    <w:rsid w:val="000C0A97"/>
    <w:rsid w:val="000C43B4"/>
    <w:rsid w:val="0011782D"/>
    <w:rsid w:val="00193DC1"/>
    <w:rsid w:val="002103AF"/>
    <w:rsid w:val="00396584"/>
    <w:rsid w:val="00404993"/>
    <w:rsid w:val="0049675F"/>
    <w:rsid w:val="005E6812"/>
    <w:rsid w:val="006F780E"/>
    <w:rsid w:val="00754844"/>
    <w:rsid w:val="0077030F"/>
    <w:rsid w:val="00866313"/>
    <w:rsid w:val="009A0BFD"/>
    <w:rsid w:val="009B0A1F"/>
    <w:rsid w:val="00AC46B8"/>
    <w:rsid w:val="00C05B63"/>
    <w:rsid w:val="00C16337"/>
    <w:rsid w:val="00C443D9"/>
    <w:rsid w:val="00CC2CE1"/>
    <w:rsid w:val="00CE59E7"/>
    <w:rsid w:val="00DA0F0B"/>
    <w:rsid w:val="00E40549"/>
    <w:rsid w:val="00E429C1"/>
    <w:rsid w:val="00F01EEA"/>
    <w:rsid w:val="00F41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584"/>
    <w:pPr>
      <w:widowControl w:val="0"/>
      <w:suppressAutoHyphens/>
      <w:spacing w:line="360" w:lineRule="auto"/>
      <w:ind w:firstLine="709"/>
      <w:jc w:val="both"/>
    </w:pPr>
    <w:rPr>
      <w:rFonts w:ascii="Times New Roman" w:hAnsi="Times New Roman"/>
      <w:color w:val="000000"/>
      <w:sz w:val="28"/>
      <w:szCs w:val="28"/>
    </w:rPr>
  </w:style>
  <w:style w:type="paragraph" w:styleId="1">
    <w:name w:val="heading 1"/>
    <w:basedOn w:val="a"/>
    <w:next w:val="a"/>
    <w:link w:val="10"/>
    <w:uiPriority w:val="9"/>
    <w:qFormat/>
    <w:rsid w:val="00396584"/>
    <w:pPr>
      <w:keepNext/>
      <w:pageBreakBefore/>
      <w:spacing w:before="240" w:after="60"/>
      <w:jc w:val="center"/>
      <w:outlineLvl w:val="0"/>
    </w:pPr>
    <w:rPr>
      <w:rFonts w:eastAsia="Times New Roman"/>
      <w:b/>
      <w:bCs/>
      <w:kern w:val="32"/>
      <w:sz w:val="32"/>
      <w:szCs w:val="32"/>
    </w:rPr>
  </w:style>
  <w:style w:type="paragraph" w:styleId="2">
    <w:name w:val="heading 2"/>
    <w:basedOn w:val="a"/>
    <w:next w:val="a"/>
    <w:link w:val="20"/>
    <w:uiPriority w:val="9"/>
    <w:unhideWhenUsed/>
    <w:qFormat/>
    <w:rsid w:val="00396584"/>
    <w:pPr>
      <w:keepNext/>
      <w:spacing w:before="120" w:after="120"/>
      <w:jc w:val="center"/>
      <w:outlineLvl w:val="1"/>
    </w:pPr>
    <w:rPr>
      <w:rFonts w:eastAsia="Times New Roman"/>
      <w:b/>
      <w:bCs/>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01EEA"/>
    <w:rPr>
      <w:color w:val="000080"/>
      <w:u w:val="single"/>
    </w:rPr>
  </w:style>
  <w:style w:type="character" w:customStyle="1" w:styleId="11">
    <w:name w:val="Заголовок №1_"/>
    <w:basedOn w:val="a0"/>
    <w:link w:val="12"/>
    <w:uiPriority w:val="99"/>
    <w:rsid w:val="00F01EEA"/>
    <w:rPr>
      <w:rFonts w:ascii="Microsoft Sans Serif" w:hAnsi="Microsoft Sans Serif" w:cs="Microsoft Sans Serif"/>
      <w:sz w:val="32"/>
      <w:szCs w:val="32"/>
      <w:u w:val="none"/>
    </w:rPr>
  </w:style>
  <w:style w:type="character" w:customStyle="1" w:styleId="3">
    <w:name w:val="Основной текст (3)_"/>
    <w:basedOn w:val="a0"/>
    <w:link w:val="30"/>
    <w:uiPriority w:val="99"/>
    <w:rsid w:val="00F01EEA"/>
    <w:rPr>
      <w:rFonts w:ascii="Times New Roman" w:hAnsi="Times New Roman" w:cs="Times New Roman"/>
      <w:sz w:val="28"/>
      <w:szCs w:val="28"/>
      <w:u w:val="none"/>
    </w:rPr>
  </w:style>
  <w:style w:type="character" w:customStyle="1" w:styleId="31">
    <w:name w:val="Основной текст (3) + Полужирный"/>
    <w:aliases w:val="Курсив,Основной текст (2) + 16 pt"/>
    <w:basedOn w:val="3"/>
    <w:uiPriority w:val="99"/>
    <w:rsid w:val="00F01EEA"/>
    <w:rPr>
      <w:rFonts w:ascii="Times New Roman" w:hAnsi="Times New Roman" w:cs="Times New Roman"/>
      <w:b/>
      <w:bCs/>
      <w:i/>
      <w:iCs/>
      <w:sz w:val="28"/>
      <w:szCs w:val="28"/>
      <w:u w:val="none"/>
    </w:rPr>
  </w:style>
  <w:style w:type="character" w:customStyle="1" w:styleId="32">
    <w:name w:val="Основной текст (3) + Курсив"/>
    <w:basedOn w:val="3"/>
    <w:uiPriority w:val="99"/>
    <w:rsid w:val="00F01EEA"/>
    <w:rPr>
      <w:rFonts w:ascii="Times New Roman" w:hAnsi="Times New Roman" w:cs="Times New Roman"/>
      <w:i/>
      <w:iCs/>
      <w:sz w:val="28"/>
      <w:szCs w:val="28"/>
      <w:u w:val="none"/>
    </w:rPr>
  </w:style>
  <w:style w:type="character" w:customStyle="1" w:styleId="21">
    <w:name w:val="Основной текст (2)_"/>
    <w:basedOn w:val="a0"/>
    <w:link w:val="22"/>
    <w:uiPriority w:val="99"/>
    <w:rsid w:val="00F01EEA"/>
    <w:rPr>
      <w:rFonts w:ascii="Times New Roman" w:hAnsi="Times New Roman" w:cs="Times New Roman"/>
      <w:sz w:val="18"/>
      <w:szCs w:val="18"/>
      <w:u w:val="none"/>
    </w:rPr>
  </w:style>
  <w:style w:type="paragraph" w:customStyle="1" w:styleId="12">
    <w:name w:val="Заголовок №1"/>
    <w:basedOn w:val="a"/>
    <w:link w:val="11"/>
    <w:uiPriority w:val="99"/>
    <w:rsid w:val="00F01EEA"/>
    <w:pPr>
      <w:shd w:val="clear" w:color="auto" w:fill="FFFFFF"/>
      <w:spacing w:after="300" w:line="368" w:lineRule="exact"/>
      <w:jc w:val="center"/>
      <w:outlineLvl w:val="0"/>
    </w:pPr>
    <w:rPr>
      <w:rFonts w:ascii="Microsoft Sans Serif" w:hAnsi="Microsoft Sans Serif" w:cs="Microsoft Sans Serif"/>
      <w:color w:val="auto"/>
      <w:sz w:val="32"/>
      <w:szCs w:val="32"/>
    </w:rPr>
  </w:style>
  <w:style w:type="paragraph" w:customStyle="1" w:styleId="30">
    <w:name w:val="Основной текст (3)"/>
    <w:basedOn w:val="a"/>
    <w:link w:val="3"/>
    <w:uiPriority w:val="99"/>
    <w:rsid w:val="00F01EEA"/>
    <w:pPr>
      <w:shd w:val="clear" w:color="auto" w:fill="FFFFFF"/>
      <w:spacing w:before="300" w:line="330" w:lineRule="exact"/>
      <w:ind w:firstLine="560"/>
    </w:pPr>
    <w:rPr>
      <w:color w:val="auto"/>
    </w:rPr>
  </w:style>
  <w:style w:type="paragraph" w:customStyle="1" w:styleId="22">
    <w:name w:val="Основной текст (2)"/>
    <w:basedOn w:val="a"/>
    <w:link w:val="21"/>
    <w:uiPriority w:val="99"/>
    <w:rsid w:val="00F01EEA"/>
    <w:pPr>
      <w:shd w:val="clear" w:color="auto" w:fill="FFFFFF"/>
      <w:spacing w:line="210" w:lineRule="exact"/>
    </w:pPr>
    <w:rPr>
      <w:color w:val="auto"/>
      <w:sz w:val="18"/>
      <w:szCs w:val="18"/>
    </w:rPr>
  </w:style>
  <w:style w:type="character" w:customStyle="1" w:styleId="10">
    <w:name w:val="Заголовок 1 Знак"/>
    <w:basedOn w:val="a0"/>
    <w:link w:val="1"/>
    <w:uiPriority w:val="9"/>
    <w:rsid w:val="00396584"/>
    <w:rPr>
      <w:rFonts w:ascii="Times New Roman" w:eastAsia="Times New Roman" w:hAnsi="Times New Roman" w:cs="Times New Roman"/>
      <w:b/>
      <w:bCs/>
      <w:color w:val="000000"/>
      <w:kern w:val="32"/>
      <w:sz w:val="32"/>
      <w:szCs w:val="32"/>
    </w:rPr>
  </w:style>
  <w:style w:type="paragraph" w:styleId="a4">
    <w:name w:val="List Paragraph"/>
    <w:basedOn w:val="a"/>
    <w:uiPriority w:val="34"/>
    <w:qFormat/>
    <w:rsid w:val="00CC2CE1"/>
    <w:pPr>
      <w:ind w:left="708"/>
    </w:pPr>
  </w:style>
  <w:style w:type="paragraph" w:styleId="a5">
    <w:name w:val="footnote text"/>
    <w:basedOn w:val="a"/>
    <w:link w:val="a6"/>
    <w:uiPriority w:val="99"/>
    <w:unhideWhenUsed/>
    <w:rsid w:val="00DA0F0B"/>
    <w:rPr>
      <w:sz w:val="20"/>
      <w:szCs w:val="20"/>
    </w:rPr>
  </w:style>
  <w:style w:type="character" w:customStyle="1" w:styleId="a6">
    <w:name w:val="Текст сноски Знак"/>
    <w:basedOn w:val="a0"/>
    <w:link w:val="a5"/>
    <w:uiPriority w:val="99"/>
    <w:rsid w:val="00DA0F0B"/>
    <w:rPr>
      <w:rFonts w:cs="Arial Unicode MS"/>
      <w:color w:val="000000"/>
      <w:sz w:val="20"/>
      <w:szCs w:val="20"/>
    </w:rPr>
  </w:style>
  <w:style w:type="character" w:styleId="a7">
    <w:name w:val="footnote reference"/>
    <w:basedOn w:val="a0"/>
    <w:uiPriority w:val="99"/>
    <w:semiHidden/>
    <w:unhideWhenUsed/>
    <w:rsid w:val="00DA0F0B"/>
    <w:rPr>
      <w:vertAlign w:val="superscript"/>
    </w:rPr>
  </w:style>
  <w:style w:type="paragraph" w:styleId="a8">
    <w:name w:val="Balloon Text"/>
    <w:basedOn w:val="a"/>
    <w:link w:val="a9"/>
    <w:uiPriority w:val="99"/>
    <w:semiHidden/>
    <w:unhideWhenUsed/>
    <w:rsid w:val="00396584"/>
    <w:pPr>
      <w:widowControl/>
      <w:shd w:val="clear" w:color="auto" w:fill="FFFFFF"/>
      <w:spacing w:beforeAutospacing="1" w:afterAutospacing="1"/>
      <w:ind w:firstLine="708"/>
    </w:pPr>
    <w:rPr>
      <w:rFonts w:ascii="Tahoma" w:eastAsia="Times New Roman" w:hAnsi="Tahoma" w:cs="Tahoma"/>
      <w:color w:val="00124E"/>
      <w:sz w:val="16"/>
      <w:szCs w:val="16"/>
    </w:rPr>
  </w:style>
  <w:style w:type="character" w:customStyle="1" w:styleId="a9">
    <w:name w:val="Текст выноски Знак"/>
    <w:basedOn w:val="a0"/>
    <w:link w:val="a8"/>
    <w:uiPriority w:val="99"/>
    <w:semiHidden/>
    <w:rsid w:val="00396584"/>
    <w:rPr>
      <w:rFonts w:ascii="Tahoma" w:eastAsia="Times New Roman" w:hAnsi="Tahoma" w:cs="Tahoma"/>
      <w:color w:val="00124E"/>
      <w:sz w:val="16"/>
      <w:szCs w:val="16"/>
      <w:shd w:val="clear" w:color="auto" w:fill="FFFFFF"/>
    </w:rPr>
  </w:style>
  <w:style w:type="character" w:customStyle="1" w:styleId="20">
    <w:name w:val="Заголовок 2 Знак"/>
    <w:basedOn w:val="a0"/>
    <w:link w:val="2"/>
    <w:uiPriority w:val="9"/>
    <w:rsid w:val="00396584"/>
    <w:rPr>
      <w:rFonts w:ascii="Times New Roman" w:eastAsia="Times New Roman" w:hAnsi="Times New Roman"/>
      <w:b/>
      <w:bCs/>
      <w:iCs/>
      <w:color w:val="000000"/>
      <w:sz w:val="28"/>
      <w:szCs w:val="28"/>
    </w:rPr>
  </w:style>
  <w:style w:type="character" w:customStyle="1" w:styleId="apple-converted-space">
    <w:name w:val="apple-converted-space"/>
    <w:basedOn w:val="a0"/>
    <w:rsid w:val="00396584"/>
  </w:style>
  <w:style w:type="paragraph" w:styleId="aa">
    <w:name w:val="TOC Heading"/>
    <w:basedOn w:val="1"/>
    <w:next w:val="a"/>
    <w:uiPriority w:val="39"/>
    <w:unhideWhenUsed/>
    <w:qFormat/>
    <w:rsid w:val="00396584"/>
    <w:pPr>
      <w:keepLines/>
      <w:widowControl/>
      <w:spacing w:before="480" w:after="0" w:line="276" w:lineRule="auto"/>
      <w:ind w:firstLine="0"/>
      <w:outlineLvl w:val="9"/>
    </w:pPr>
    <w:rPr>
      <w:color w:val="365F91"/>
      <w:kern w:val="0"/>
      <w:sz w:val="28"/>
      <w:szCs w:val="28"/>
    </w:rPr>
  </w:style>
  <w:style w:type="paragraph" w:styleId="13">
    <w:name w:val="toc 1"/>
    <w:basedOn w:val="a"/>
    <w:next w:val="a"/>
    <w:autoRedefine/>
    <w:uiPriority w:val="39"/>
    <w:unhideWhenUsed/>
    <w:rsid w:val="00396584"/>
    <w:pPr>
      <w:widowControl/>
      <w:shd w:val="clear" w:color="auto" w:fill="FFFFFF"/>
      <w:tabs>
        <w:tab w:val="right" w:leader="dot" w:pos="9345"/>
      </w:tabs>
      <w:spacing w:before="100" w:beforeAutospacing="1" w:after="100" w:afterAutospacing="1"/>
      <w:ind w:firstLine="0"/>
    </w:pPr>
    <w:rPr>
      <w:rFonts w:eastAsia="Times New Roman"/>
      <w:color w:val="00124E"/>
      <w:szCs w:val="20"/>
    </w:rPr>
  </w:style>
  <w:style w:type="character" w:customStyle="1" w:styleId="23">
    <w:name w:val="Основной текст (2) + Курсив"/>
    <w:aliases w:val="Интервал 0 pt"/>
    <w:basedOn w:val="a0"/>
    <w:uiPriority w:val="99"/>
    <w:rsid w:val="00396584"/>
    <w:rPr>
      <w:rFonts w:ascii="Bookman Old Style" w:eastAsia="Bookman Old Style" w:hAnsi="Bookman Old Style" w:cs="Bookman Old Style"/>
      <w:b w:val="0"/>
      <w:bCs w:val="0"/>
      <w:i/>
      <w:iCs/>
      <w:smallCaps w:val="0"/>
      <w:strike w:val="0"/>
      <w:color w:val="000000"/>
      <w:spacing w:val="0"/>
      <w:w w:val="100"/>
      <w:position w:val="0"/>
      <w:sz w:val="12"/>
      <w:szCs w:val="12"/>
      <w:u w:val="none"/>
      <w:lang w:val="ru-RU" w:eastAsia="ru-RU" w:bidi="ru-RU"/>
    </w:rPr>
  </w:style>
  <w:style w:type="paragraph" w:styleId="ab">
    <w:name w:val="No Spacing"/>
    <w:aliases w:val="текст"/>
    <w:basedOn w:val="a"/>
    <w:uiPriority w:val="1"/>
    <w:qFormat/>
    <w:rsid w:val="00396584"/>
    <w:pPr>
      <w:ind w:left="20" w:firstLine="547"/>
    </w:pPr>
    <w:rPr>
      <w:szCs w:val="16"/>
      <w:lang w:bidi="ru-RU"/>
    </w:rPr>
  </w:style>
  <w:style w:type="character" w:customStyle="1" w:styleId="24">
    <w:name w:val="Основной текст (2) + Полужирный"/>
    <w:basedOn w:val="a0"/>
    <w:rsid w:val="00396584"/>
    <w:rPr>
      <w:rFonts w:ascii="MS Reference Sans Serif" w:eastAsia="MS Reference Sans Serif" w:hAnsi="MS Reference Sans Serif" w:cs="MS Reference Sans Serif"/>
      <w:b/>
      <w:bCs/>
      <w:i w:val="0"/>
      <w:iCs w:val="0"/>
      <w:smallCaps w:val="0"/>
      <w:strike w:val="0"/>
      <w:color w:val="000000"/>
      <w:spacing w:val="0"/>
      <w:w w:val="100"/>
      <w:position w:val="0"/>
      <w:sz w:val="16"/>
      <w:szCs w:val="16"/>
      <w:u w:val="none"/>
      <w:lang w:val="ru-RU" w:eastAsia="ru-RU" w:bidi="ru-RU"/>
    </w:rPr>
  </w:style>
  <w:style w:type="paragraph" w:styleId="25">
    <w:name w:val="toc 2"/>
    <w:basedOn w:val="a"/>
    <w:next w:val="a"/>
    <w:autoRedefine/>
    <w:uiPriority w:val="39"/>
    <w:unhideWhenUsed/>
    <w:rsid w:val="009B0A1F"/>
    <w:pPr>
      <w:widowControl/>
      <w:shd w:val="clear" w:color="auto" w:fill="FFFFFF"/>
      <w:tabs>
        <w:tab w:val="right" w:leader="dot" w:pos="9345"/>
      </w:tabs>
      <w:spacing w:before="100" w:beforeAutospacing="1" w:after="100" w:afterAutospacing="1"/>
      <w:ind w:left="567" w:firstLine="0"/>
    </w:pPr>
    <w:rPr>
      <w:rFonts w:eastAsia="Times New Roman"/>
      <w:color w:val="00124E"/>
      <w:szCs w:val="20"/>
    </w:rPr>
  </w:style>
  <w:style w:type="character" w:customStyle="1" w:styleId="5">
    <w:name w:val="Основной текст (5)_"/>
    <w:basedOn w:val="a0"/>
    <w:link w:val="51"/>
    <w:uiPriority w:val="99"/>
    <w:rsid w:val="00396584"/>
    <w:rPr>
      <w:rFonts w:ascii="Times New Roman" w:hAnsi="Times New Roman"/>
      <w:shd w:val="clear" w:color="auto" w:fill="FFFFFF"/>
    </w:rPr>
  </w:style>
  <w:style w:type="character" w:customStyle="1" w:styleId="50">
    <w:name w:val="Основной текст (5) + Курсив"/>
    <w:basedOn w:val="5"/>
    <w:uiPriority w:val="99"/>
    <w:rsid w:val="00396584"/>
    <w:rPr>
      <w:rFonts w:ascii="Times New Roman" w:hAnsi="Times New Roman"/>
      <w:i/>
      <w:iCs/>
      <w:shd w:val="clear" w:color="auto" w:fill="FFFFFF"/>
    </w:rPr>
  </w:style>
  <w:style w:type="character" w:customStyle="1" w:styleId="210">
    <w:name w:val="Основной текст (2) + Курсив1"/>
    <w:basedOn w:val="21"/>
    <w:uiPriority w:val="99"/>
    <w:rsid w:val="00396584"/>
    <w:rPr>
      <w:rFonts w:ascii="Times New Roman" w:hAnsi="Times New Roman" w:cs="Times New Roman"/>
      <w:i/>
      <w:iCs/>
      <w:sz w:val="26"/>
      <w:szCs w:val="26"/>
      <w:u w:val="none"/>
      <w:shd w:val="clear" w:color="auto" w:fill="FFFFFF"/>
    </w:rPr>
  </w:style>
  <w:style w:type="paragraph" w:customStyle="1" w:styleId="51">
    <w:name w:val="Основной текст (5)1"/>
    <w:basedOn w:val="a"/>
    <w:link w:val="5"/>
    <w:uiPriority w:val="99"/>
    <w:rsid w:val="00396584"/>
    <w:pPr>
      <w:shd w:val="clear" w:color="auto" w:fill="FFFFFF"/>
      <w:spacing w:line="263" w:lineRule="exact"/>
      <w:ind w:firstLine="0"/>
    </w:pPr>
    <w:rPr>
      <w:color w:val="auto"/>
    </w:rPr>
  </w:style>
  <w:style w:type="paragraph" w:customStyle="1" w:styleId="211">
    <w:name w:val="Основной текст (2)1"/>
    <w:basedOn w:val="a"/>
    <w:uiPriority w:val="99"/>
    <w:rsid w:val="00396584"/>
    <w:pPr>
      <w:shd w:val="clear" w:color="auto" w:fill="FFFFFF"/>
      <w:spacing w:before="240" w:line="300" w:lineRule="exact"/>
      <w:ind w:firstLine="560"/>
    </w:pPr>
    <w:rPr>
      <w:rFonts w:eastAsia="Calibri"/>
      <w:color w:val="auto"/>
      <w:sz w:val="26"/>
      <w:szCs w:val="26"/>
      <w:lang w:eastAsia="en-US"/>
    </w:rPr>
  </w:style>
  <w:style w:type="paragraph" w:styleId="ac">
    <w:name w:val="footer"/>
    <w:basedOn w:val="a"/>
    <w:link w:val="ad"/>
    <w:uiPriority w:val="99"/>
    <w:unhideWhenUsed/>
    <w:rsid w:val="00396584"/>
    <w:pPr>
      <w:widowControl/>
      <w:shd w:val="clear" w:color="auto" w:fill="FFFFFF"/>
      <w:tabs>
        <w:tab w:val="center" w:pos="4677"/>
        <w:tab w:val="right" w:pos="9355"/>
      </w:tabs>
      <w:spacing w:beforeAutospacing="1" w:afterAutospacing="1"/>
      <w:ind w:firstLine="708"/>
    </w:pPr>
    <w:rPr>
      <w:rFonts w:eastAsia="Times New Roman"/>
      <w:color w:val="00124E"/>
      <w:szCs w:val="20"/>
    </w:rPr>
  </w:style>
  <w:style w:type="character" w:customStyle="1" w:styleId="ad">
    <w:name w:val="Нижний колонтитул Знак"/>
    <w:basedOn w:val="a0"/>
    <w:link w:val="ac"/>
    <w:uiPriority w:val="99"/>
    <w:rsid w:val="00396584"/>
    <w:rPr>
      <w:rFonts w:ascii="Times New Roman" w:eastAsia="Times New Roman" w:hAnsi="Times New Roman"/>
      <w:color w:val="00124E"/>
      <w:sz w:val="28"/>
      <w:szCs w:val="20"/>
      <w:shd w:val="clear" w:color="auto" w:fill="FFFFFF"/>
    </w:rPr>
  </w:style>
  <w:style w:type="paragraph" w:styleId="ae">
    <w:name w:val="Body Text Indent"/>
    <w:basedOn w:val="a"/>
    <w:link w:val="af"/>
    <w:uiPriority w:val="99"/>
    <w:semiHidden/>
    <w:rsid w:val="00396584"/>
    <w:pPr>
      <w:widowControl/>
    </w:pPr>
    <w:rPr>
      <w:rFonts w:eastAsia="Times New Roman"/>
      <w:color w:val="auto"/>
    </w:rPr>
  </w:style>
  <w:style w:type="character" w:customStyle="1" w:styleId="af">
    <w:name w:val="Основной текст с отступом Знак"/>
    <w:basedOn w:val="a0"/>
    <w:link w:val="ae"/>
    <w:uiPriority w:val="99"/>
    <w:semiHidden/>
    <w:rsid w:val="00396584"/>
    <w:rPr>
      <w:rFonts w:ascii="Times New Roman" w:eastAsia="Times New Roman" w:hAnsi="Times New Roman"/>
      <w:sz w:val="28"/>
    </w:rPr>
  </w:style>
  <w:style w:type="paragraph" w:styleId="af0">
    <w:name w:val="annotation text"/>
    <w:basedOn w:val="a"/>
    <w:link w:val="af1"/>
    <w:uiPriority w:val="99"/>
    <w:unhideWhenUsed/>
    <w:rsid w:val="00396584"/>
    <w:pPr>
      <w:widowControl/>
      <w:shd w:val="clear" w:color="auto" w:fill="FFFFFF"/>
      <w:spacing w:before="100" w:beforeAutospacing="1" w:after="100" w:afterAutospacing="1"/>
      <w:ind w:firstLine="708"/>
    </w:pPr>
    <w:rPr>
      <w:rFonts w:eastAsia="Times New Roman"/>
      <w:color w:val="00124E"/>
      <w:sz w:val="20"/>
      <w:szCs w:val="20"/>
    </w:rPr>
  </w:style>
  <w:style w:type="character" w:customStyle="1" w:styleId="af1">
    <w:name w:val="Текст примечания Знак"/>
    <w:basedOn w:val="a0"/>
    <w:link w:val="af0"/>
    <w:uiPriority w:val="99"/>
    <w:rsid w:val="00396584"/>
    <w:rPr>
      <w:rFonts w:ascii="Times New Roman" w:eastAsia="Times New Roman" w:hAnsi="Times New Roman"/>
      <w:color w:val="00124E"/>
      <w:sz w:val="20"/>
      <w:szCs w:val="20"/>
      <w:shd w:val="clear" w:color="auto" w:fill="FFFFFF"/>
    </w:rPr>
  </w:style>
  <w:style w:type="paragraph" w:styleId="af2">
    <w:name w:val="header"/>
    <w:basedOn w:val="a"/>
    <w:link w:val="af3"/>
    <w:uiPriority w:val="99"/>
    <w:semiHidden/>
    <w:unhideWhenUsed/>
    <w:rsid w:val="000C0A97"/>
    <w:pPr>
      <w:tabs>
        <w:tab w:val="center" w:pos="4677"/>
        <w:tab w:val="right" w:pos="9355"/>
      </w:tabs>
    </w:pPr>
  </w:style>
  <w:style w:type="character" w:customStyle="1" w:styleId="af3">
    <w:name w:val="Верхний колонтитул Знак"/>
    <w:basedOn w:val="a0"/>
    <w:link w:val="af2"/>
    <w:uiPriority w:val="99"/>
    <w:semiHidden/>
    <w:rsid w:val="000C0A97"/>
    <w:rPr>
      <w:rFonts w:ascii="Times New Roman" w:hAnsi="Times New Roman"/>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584"/>
    <w:pPr>
      <w:widowControl w:val="0"/>
      <w:suppressAutoHyphens/>
      <w:spacing w:line="360" w:lineRule="auto"/>
      <w:ind w:firstLine="709"/>
      <w:jc w:val="both"/>
    </w:pPr>
    <w:rPr>
      <w:rFonts w:ascii="Times New Roman" w:hAnsi="Times New Roman"/>
      <w:color w:val="000000"/>
      <w:sz w:val="28"/>
      <w:szCs w:val="28"/>
    </w:rPr>
  </w:style>
  <w:style w:type="paragraph" w:styleId="1">
    <w:name w:val="heading 1"/>
    <w:basedOn w:val="a"/>
    <w:next w:val="a"/>
    <w:link w:val="10"/>
    <w:uiPriority w:val="9"/>
    <w:qFormat/>
    <w:rsid w:val="00396584"/>
    <w:pPr>
      <w:keepNext/>
      <w:pageBreakBefore/>
      <w:spacing w:before="240" w:after="60"/>
      <w:jc w:val="center"/>
      <w:outlineLvl w:val="0"/>
    </w:pPr>
    <w:rPr>
      <w:rFonts w:eastAsia="Times New Roman"/>
      <w:b/>
      <w:bCs/>
      <w:kern w:val="32"/>
      <w:sz w:val="32"/>
      <w:szCs w:val="32"/>
    </w:rPr>
  </w:style>
  <w:style w:type="paragraph" w:styleId="2">
    <w:name w:val="heading 2"/>
    <w:basedOn w:val="a"/>
    <w:next w:val="a"/>
    <w:link w:val="20"/>
    <w:uiPriority w:val="9"/>
    <w:unhideWhenUsed/>
    <w:qFormat/>
    <w:rsid w:val="00396584"/>
    <w:pPr>
      <w:keepNext/>
      <w:spacing w:before="120" w:after="120"/>
      <w:jc w:val="center"/>
      <w:outlineLvl w:val="1"/>
    </w:pPr>
    <w:rPr>
      <w:rFonts w:eastAsia="Times New Roman"/>
      <w:b/>
      <w:bCs/>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01EEA"/>
    <w:rPr>
      <w:color w:val="000080"/>
      <w:u w:val="single"/>
    </w:rPr>
  </w:style>
  <w:style w:type="character" w:customStyle="1" w:styleId="11">
    <w:name w:val="Заголовок №1_"/>
    <w:basedOn w:val="a0"/>
    <w:link w:val="12"/>
    <w:uiPriority w:val="99"/>
    <w:rsid w:val="00F01EEA"/>
    <w:rPr>
      <w:rFonts w:ascii="Microsoft Sans Serif" w:hAnsi="Microsoft Sans Serif" w:cs="Microsoft Sans Serif"/>
      <w:sz w:val="32"/>
      <w:szCs w:val="32"/>
      <w:u w:val="none"/>
    </w:rPr>
  </w:style>
  <w:style w:type="character" w:customStyle="1" w:styleId="3">
    <w:name w:val="Основной текст (3)_"/>
    <w:basedOn w:val="a0"/>
    <w:link w:val="30"/>
    <w:uiPriority w:val="99"/>
    <w:rsid w:val="00F01EEA"/>
    <w:rPr>
      <w:rFonts w:ascii="Times New Roman" w:hAnsi="Times New Roman" w:cs="Times New Roman"/>
      <w:sz w:val="28"/>
      <w:szCs w:val="28"/>
      <w:u w:val="none"/>
    </w:rPr>
  </w:style>
  <w:style w:type="character" w:customStyle="1" w:styleId="31">
    <w:name w:val="Основной текст (3) + Полужирный"/>
    <w:aliases w:val="Курсив,Основной текст (2) + 16 pt"/>
    <w:basedOn w:val="3"/>
    <w:uiPriority w:val="99"/>
    <w:rsid w:val="00F01EEA"/>
    <w:rPr>
      <w:rFonts w:ascii="Times New Roman" w:hAnsi="Times New Roman" w:cs="Times New Roman"/>
      <w:b/>
      <w:bCs/>
      <w:i/>
      <w:iCs/>
      <w:sz w:val="28"/>
      <w:szCs w:val="28"/>
      <w:u w:val="none"/>
    </w:rPr>
  </w:style>
  <w:style w:type="character" w:customStyle="1" w:styleId="32">
    <w:name w:val="Основной текст (3) + Курсив"/>
    <w:basedOn w:val="3"/>
    <w:uiPriority w:val="99"/>
    <w:rsid w:val="00F01EEA"/>
    <w:rPr>
      <w:rFonts w:ascii="Times New Roman" w:hAnsi="Times New Roman" w:cs="Times New Roman"/>
      <w:i/>
      <w:iCs/>
      <w:sz w:val="28"/>
      <w:szCs w:val="28"/>
      <w:u w:val="none"/>
    </w:rPr>
  </w:style>
  <w:style w:type="character" w:customStyle="1" w:styleId="21">
    <w:name w:val="Основной текст (2)_"/>
    <w:basedOn w:val="a0"/>
    <w:link w:val="22"/>
    <w:uiPriority w:val="99"/>
    <w:rsid w:val="00F01EEA"/>
    <w:rPr>
      <w:rFonts w:ascii="Times New Roman" w:hAnsi="Times New Roman" w:cs="Times New Roman"/>
      <w:sz w:val="18"/>
      <w:szCs w:val="18"/>
      <w:u w:val="none"/>
    </w:rPr>
  </w:style>
  <w:style w:type="paragraph" w:customStyle="1" w:styleId="12">
    <w:name w:val="Заголовок №1"/>
    <w:basedOn w:val="a"/>
    <w:link w:val="11"/>
    <w:uiPriority w:val="99"/>
    <w:rsid w:val="00F01EEA"/>
    <w:pPr>
      <w:shd w:val="clear" w:color="auto" w:fill="FFFFFF"/>
      <w:spacing w:after="300" w:line="368" w:lineRule="exact"/>
      <w:jc w:val="center"/>
      <w:outlineLvl w:val="0"/>
    </w:pPr>
    <w:rPr>
      <w:rFonts w:ascii="Microsoft Sans Serif" w:hAnsi="Microsoft Sans Serif" w:cs="Microsoft Sans Serif"/>
      <w:color w:val="auto"/>
      <w:sz w:val="32"/>
      <w:szCs w:val="32"/>
    </w:rPr>
  </w:style>
  <w:style w:type="paragraph" w:customStyle="1" w:styleId="30">
    <w:name w:val="Основной текст (3)"/>
    <w:basedOn w:val="a"/>
    <w:link w:val="3"/>
    <w:uiPriority w:val="99"/>
    <w:rsid w:val="00F01EEA"/>
    <w:pPr>
      <w:shd w:val="clear" w:color="auto" w:fill="FFFFFF"/>
      <w:spacing w:before="300" w:line="330" w:lineRule="exact"/>
      <w:ind w:firstLine="560"/>
    </w:pPr>
    <w:rPr>
      <w:color w:val="auto"/>
    </w:rPr>
  </w:style>
  <w:style w:type="paragraph" w:customStyle="1" w:styleId="22">
    <w:name w:val="Основной текст (2)"/>
    <w:basedOn w:val="a"/>
    <w:link w:val="21"/>
    <w:uiPriority w:val="99"/>
    <w:rsid w:val="00F01EEA"/>
    <w:pPr>
      <w:shd w:val="clear" w:color="auto" w:fill="FFFFFF"/>
      <w:spacing w:line="210" w:lineRule="exact"/>
    </w:pPr>
    <w:rPr>
      <w:color w:val="auto"/>
      <w:sz w:val="18"/>
      <w:szCs w:val="18"/>
    </w:rPr>
  </w:style>
  <w:style w:type="character" w:customStyle="1" w:styleId="10">
    <w:name w:val="Заголовок 1 Знак"/>
    <w:basedOn w:val="a0"/>
    <w:link w:val="1"/>
    <w:uiPriority w:val="9"/>
    <w:rsid w:val="00396584"/>
    <w:rPr>
      <w:rFonts w:ascii="Times New Roman" w:eastAsia="Times New Roman" w:hAnsi="Times New Roman" w:cs="Times New Roman"/>
      <w:b/>
      <w:bCs/>
      <w:color w:val="000000"/>
      <w:kern w:val="32"/>
      <w:sz w:val="32"/>
      <w:szCs w:val="32"/>
    </w:rPr>
  </w:style>
  <w:style w:type="paragraph" w:styleId="a4">
    <w:name w:val="List Paragraph"/>
    <w:basedOn w:val="a"/>
    <w:uiPriority w:val="34"/>
    <w:qFormat/>
    <w:rsid w:val="00CC2CE1"/>
    <w:pPr>
      <w:ind w:left="708"/>
    </w:pPr>
  </w:style>
  <w:style w:type="paragraph" w:styleId="a5">
    <w:name w:val="footnote text"/>
    <w:basedOn w:val="a"/>
    <w:link w:val="a6"/>
    <w:uiPriority w:val="99"/>
    <w:unhideWhenUsed/>
    <w:rsid w:val="00DA0F0B"/>
    <w:rPr>
      <w:sz w:val="20"/>
      <w:szCs w:val="20"/>
    </w:rPr>
  </w:style>
  <w:style w:type="character" w:customStyle="1" w:styleId="a6">
    <w:name w:val="Текст сноски Знак"/>
    <w:basedOn w:val="a0"/>
    <w:link w:val="a5"/>
    <w:uiPriority w:val="99"/>
    <w:rsid w:val="00DA0F0B"/>
    <w:rPr>
      <w:rFonts w:cs="Arial Unicode MS"/>
      <w:color w:val="000000"/>
      <w:sz w:val="20"/>
      <w:szCs w:val="20"/>
    </w:rPr>
  </w:style>
  <w:style w:type="character" w:styleId="a7">
    <w:name w:val="footnote reference"/>
    <w:basedOn w:val="a0"/>
    <w:uiPriority w:val="99"/>
    <w:semiHidden/>
    <w:unhideWhenUsed/>
    <w:rsid w:val="00DA0F0B"/>
    <w:rPr>
      <w:vertAlign w:val="superscript"/>
    </w:rPr>
  </w:style>
  <w:style w:type="paragraph" w:styleId="a8">
    <w:name w:val="Balloon Text"/>
    <w:basedOn w:val="a"/>
    <w:link w:val="a9"/>
    <w:uiPriority w:val="99"/>
    <w:semiHidden/>
    <w:unhideWhenUsed/>
    <w:rsid w:val="00396584"/>
    <w:pPr>
      <w:widowControl/>
      <w:shd w:val="clear" w:color="auto" w:fill="FFFFFF"/>
      <w:spacing w:beforeAutospacing="1" w:afterAutospacing="1"/>
      <w:ind w:firstLine="708"/>
    </w:pPr>
    <w:rPr>
      <w:rFonts w:ascii="Tahoma" w:eastAsia="Times New Roman" w:hAnsi="Tahoma" w:cs="Tahoma"/>
      <w:color w:val="00124E"/>
      <w:sz w:val="16"/>
      <w:szCs w:val="16"/>
    </w:rPr>
  </w:style>
  <w:style w:type="character" w:customStyle="1" w:styleId="a9">
    <w:name w:val="Текст выноски Знак"/>
    <w:basedOn w:val="a0"/>
    <w:link w:val="a8"/>
    <w:uiPriority w:val="99"/>
    <w:semiHidden/>
    <w:rsid w:val="00396584"/>
    <w:rPr>
      <w:rFonts w:ascii="Tahoma" w:eastAsia="Times New Roman" w:hAnsi="Tahoma" w:cs="Tahoma"/>
      <w:color w:val="00124E"/>
      <w:sz w:val="16"/>
      <w:szCs w:val="16"/>
      <w:shd w:val="clear" w:color="auto" w:fill="FFFFFF"/>
    </w:rPr>
  </w:style>
  <w:style w:type="character" w:customStyle="1" w:styleId="20">
    <w:name w:val="Заголовок 2 Знак"/>
    <w:basedOn w:val="a0"/>
    <w:link w:val="2"/>
    <w:uiPriority w:val="9"/>
    <w:rsid w:val="00396584"/>
    <w:rPr>
      <w:rFonts w:ascii="Times New Roman" w:eastAsia="Times New Roman" w:hAnsi="Times New Roman"/>
      <w:b/>
      <w:bCs/>
      <w:iCs/>
      <w:color w:val="000000"/>
      <w:sz w:val="28"/>
      <w:szCs w:val="28"/>
    </w:rPr>
  </w:style>
  <w:style w:type="character" w:customStyle="1" w:styleId="apple-converted-space">
    <w:name w:val="apple-converted-space"/>
    <w:basedOn w:val="a0"/>
    <w:rsid w:val="00396584"/>
  </w:style>
  <w:style w:type="paragraph" w:styleId="aa">
    <w:name w:val="TOC Heading"/>
    <w:basedOn w:val="1"/>
    <w:next w:val="a"/>
    <w:uiPriority w:val="39"/>
    <w:unhideWhenUsed/>
    <w:qFormat/>
    <w:rsid w:val="00396584"/>
    <w:pPr>
      <w:keepLines/>
      <w:widowControl/>
      <w:spacing w:before="480" w:after="0" w:line="276" w:lineRule="auto"/>
      <w:ind w:firstLine="0"/>
      <w:outlineLvl w:val="9"/>
    </w:pPr>
    <w:rPr>
      <w:color w:val="365F91"/>
      <w:kern w:val="0"/>
      <w:sz w:val="28"/>
      <w:szCs w:val="28"/>
    </w:rPr>
  </w:style>
  <w:style w:type="paragraph" w:styleId="13">
    <w:name w:val="toc 1"/>
    <w:basedOn w:val="a"/>
    <w:next w:val="a"/>
    <w:autoRedefine/>
    <w:uiPriority w:val="39"/>
    <w:unhideWhenUsed/>
    <w:rsid w:val="00396584"/>
    <w:pPr>
      <w:widowControl/>
      <w:shd w:val="clear" w:color="auto" w:fill="FFFFFF"/>
      <w:tabs>
        <w:tab w:val="right" w:leader="dot" w:pos="9345"/>
      </w:tabs>
      <w:spacing w:before="100" w:beforeAutospacing="1" w:after="100" w:afterAutospacing="1"/>
      <w:ind w:firstLine="0"/>
    </w:pPr>
    <w:rPr>
      <w:rFonts w:eastAsia="Times New Roman"/>
      <w:color w:val="00124E"/>
      <w:szCs w:val="20"/>
    </w:rPr>
  </w:style>
  <w:style w:type="character" w:customStyle="1" w:styleId="23">
    <w:name w:val="Основной текст (2) + Курсив"/>
    <w:aliases w:val="Интервал 0 pt"/>
    <w:basedOn w:val="a0"/>
    <w:uiPriority w:val="99"/>
    <w:rsid w:val="00396584"/>
    <w:rPr>
      <w:rFonts w:ascii="Bookman Old Style" w:eastAsia="Bookman Old Style" w:hAnsi="Bookman Old Style" w:cs="Bookman Old Style"/>
      <w:b w:val="0"/>
      <w:bCs w:val="0"/>
      <w:i/>
      <w:iCs/>
      <w:smallCaps w:val="0"/>
      <w:strike w:val="0"/>
      <w:color w:val="000000"/>
      <w:spacing w:val="0"/>
      <w:w w:val="100"/>
      <w:position w:val="0"/>
      <w:sz w:val="12"/>
      <w:szCs w:val="12"/>
      <w:u w:val="none"/>
      <w:lang w:val="ru-RU" w:eastAsia="ru-RU" w:bidi="ru-RU"/>
    </w:rPr>
  </w:style>
  <w:style w:type="paragraph" w:styleId="ab">
    <w:name w:val="No Spacing"/>
    <w:aliases w:val="текст"/>
    <w:basedOn w:val="a"/>
    <w:uiPriority w:val="1"/>
    <w:qFormat/>
    <w:rsid w:val="00396584"/>
    <w:pPr>
      <w:ind w:left="20" w:firstLine="547"/>
    </w:pPr>
    <w:rPr>
      <w:szCs w:val="16"/>
      <w:lang w:bidi="ru-RU"/>
    </w:rPr>
  </w:style>
  <w:style w:type="character" w:customStyle="1" w:styleId="24">
    <w:name w:val="Основной текст (2) + Полужирный"/>
    <w:basedOn w:val="a0"/>
    <w:rsid w:val="00396584"/>
    <w:rPr>
      <w:rFonts w:ascii="MS Reference Sans Serif" w:eastAsia="MS Reference Sans Serif" w:hAnsi="MS Reference Sans Serif" w:cs="MS Reference Sans Serif"/>
      <w:b/>
      <w:bCs/>
      <w:i w:val="0"/>
      <w:iCs w:val="0"/>
      <w:smallCaps w:val="0"/>
      <w:strike w:val="0"/>
      <w:color w:val="000000"/>
      <w:spacing w:val="0"/>
      <w:w w:val="100"/>
      <w:position w:val="0"/>
      <w:sz w:val="16"/>
      <w:szCs w:val="16"/>
      <w:u w:val="none"/>
      <w:lang w:val="ru-RU" w:eastAsia="ru-RU" w:bidi="ru-RU"/>
    </w:rPr>
  </w:style>
  <w:style w:type="paragraph" w:styleId="25">
    <w:name w:val="toc 2"/>
    <w:basedOn w:val="a"/>
    <w:next w:val="a"/>
    <w:autoRedefine/>
    <w:uiPriority w:val="39"/>
    <w:unhideWhenUsed/>
    <w:rsid w:val="009B0A1F"/>
    <w:pPr>
      <w:widowControl/>
      <w:shd w:val="clear" w:color="auto" w:fill="FFFFFF"/>
      <w:tabs>
        <w:tab w:val="right" w:leader="dot" w:pos="9345"/>
      </w:tabs>
      <w:spacing w:before="100" w:beforeAutospacing="1" w:after="100" w:afterAutospacing="1"/>
      <w:ind w:left="567" w:firstLine="0"/>
    </w:pPr>
    <w:rPr>
      <w:rFonts w:eastAsia="Times New Roman"/>
      <w:color w:val="00124E"/>
      <w:szCs w:val="20"/>
    </w:rPr>
  </w:style>
  <w:style w:type="character" w:customStyle="1" w:styleId="5">
    <w:name w:val="Основной текст (5)_"/>
    <w:basedOn w:val="a0"/>
    <w:link w:val="51"/>
    <w:uiPriority w:val="99"/>
    <w:rsid w:val="00396584"/>
    <w:rPr>
      <w:rFonts w:ascii="Times New Roman" w:hAnsi="Times New Roman"/>
      <w:shd w:val="clear" w:color="auto" w:fill="FFFFFF"/>
    </w:rPr>
  </w:style>
  <w:style w:type="character" w:customStyle="1" w:styleId="50">
    <w:name w:val="Основной текст (5) + Курсив"/>
    <w:basedOn w:val="5"/>
    <w:uiPriority w:val="99"/>
    <w:rsid w:val="00396584"/>
    <w:rPr>
      <w:rFonts w:ascii="Times New Roman" w:hAnsi="Times New Roman"/>
      <w:i/>
      <w:iCs/>
      <w:shd w:val="clear" w:color="auto" w:fill="FFFFFF"/>
    </w:rPr>
  </w:style>
  <w:style w:type="character" w:customStyle="1" w:styleId="210">
    <w:name w:val="Основной текст (2) + Курсив1"/>
    <w:basedOn w:val="21"/>
    <w:uiPriority w:val="99"/>
    <w:rsid w:val="00396584"/>
    <w:rPr>
      <w:rFonts w:ascii="Times New Roman" w:hAnsi="Times New Roman" w:cs="Times New Roman"/>
      <w:i/>
      <w:iCs/>
      <w:sz w:val="26"/>
      <w:szCs w:val="26"/>
      <w:u w:val="none"/>
      <w:shd w:val="clear" w:color="auto" w:fill="FFFFFF"/>
    </w:rPr>
  </w:style>
  <w:style w:type="paragraph" w:customStyle="1" w:styleId="51">
    <w:name w:val="Основной текст (5)1"/>
    <w:basedOn w:val="a"/>
    <w:link w:val="5"/>
    <w:uiPriority w:val="99"/>
    <w:rsid w:val="00396584"/>
    <w:pPr>
      <w:shd w:val="clear" w:color="auto" w:fill="FFFFFF"/>
      <w:spacing w:line="263" w:lineRule="exact"/>
      <w:ind w:firstLine="0"/>
    </w:pPr>
    <w:rPr>
      <w:color w:val="auto"/>
    </w:rPr>
  </w:style>
  <w:style w:type="paragraph" w:customStyle="1" w:styleId="211">
    <w:name w:val="Основной текст (2)1"/>
    <w:basedOn w:val="a"/>
    <w:uiPriority w:val="99"/>
    <w:rsid w:val="00396584"/>
    <w:pPr>
      <w:shd w:val="clear" w:color="auto" w:fill="FFFFFF"/>
      <w:spacing w:before="240" w:line="300" w:lineRule="exact"/>
      <w:ind w:firstLine="560"/>
    </w:pPr>
    <w:rPr>
      <w:rFonts w:eastAsia="Calibri"/>
      <w:color w:val="auto"/>
      <w:sz w:val="26"/>
      <w:szCs w:val="26"/>
      <w:lang w:eastAsia="en-US"/>
    </w:rPr>
  </w:style>
  <w:style w:type="paragraph" w:styleId="ac">
    <w:name w:val="footer"/>
    <w:basedOn w:val="a"/>
    <w:link w:val="ad"/>
    <w:uiPriority w:val="99"/>
    <w:unhideWhenUsed/>
    <w:rsid w:val="00396584"/>
    <w:pPr>
      <w:widowControl/>
      <w:shd w:val="clear" w:color="auto" w:fill="FFFFFF"/>
      <w:tabs>
        <w:tab w:val="center" w:pos="4677"/>
        <w:tab w:val="right" w:pos="9355"/>
      </w:tabs>
      <w:spacing w:beforeAutospacing="1" w:afterAutospacing="1"/>
      <w:ind w:firstLine="708"/>
    </w:pPr>
    <w:rPr>
      <w:rFonts w:eastAsia="Times New Roman"/>
      <w:color w:val="00124E"/>
      <w:szCs w:val="20"/>
    </w:rPr>
  </w:style>
  <w:style w:type="character" w:customStyle="1" w:styleId="ad">
    <w:name w:val="Нижний колонтитул Знак"/>
    <w:basedOn w:val="a0"/>
    <w:link w:val="ac"/>
    <w:uiPriority w:val="99"/>
    <w:rsid w:val="00396584"/>
    <w:rPr>
      <w:rFonts w:ascii="Times New Roman" w:eastAsia="Times New Roman" w:hAnsi="Times New Roman"/>
      <w:color w:val="00124E"/>
      <w:sz w:val="28"/>
      <w:szCs w:val="20"/>
      <w:shd w:val="clear" w:color="auto" w:fill="FFFFFF"/>
    </w:rPr>
  </w:style>
  <w:style w:type="paragraph" w:styleId="ae">
    <w:name w:val="Body Text Indent"/>
    <w:basedOn w:val="a"/>
    <w:link w:val="af"/>
    <w:uiPriority w:val="99"/>
    <w:semiHidden/>
    <w:rsid w:val="00396584"/>
    <w:pPr>
      <w:widowControl/>
    </w:pPr>
    <w:rPr>
      <w:rFonts w:eastAsia="Times New Roman"/>
      <w:color w:val="auto"/>
    </w:rPr>
  </w:style>
  <w:style w:type="character" w:customStyle="1" w:styleId="af">
    <w:name w:val="Основной текст с отступом Знак"/>
    <w:basedOn w:val="a0"/>
    <w:link w:val="ae"/>
    <w:uiPriority w:val="99"/>
    <w:semiHidden/>
    <w:rsid w:val="00396584"/>
    <w:rPr>
      <w:rFonts w:ascii="Times New Roman" w:eastAsia="Times New Roman" w:hAnsi="Times New Roman"/>
      <w:sz w:val="28"/>
    </w:rPr>
  </w:style>
  <w:style w:type="paragraph" w:styleId="af0">
    <w:name w:val="annotation text"/>
    <w:basedOn w:val="a"/>
    <w:link w:val="af1"/>
    <w:uiPriority w:val="99"/>
    <w:unhideWhenUsed/>
    <w:rsid w:val="00396584"/>
    <w:pPr>
      <w:widowControl/>
      <w:shd w:val="clear" w:color="auto" w:fill="FFFFFF"/>
      <w:spacing w:before="100" w:beforeAutospacing="1" w:after="100" w:afterAutospacing="1"/>
      <w:ind w:firstLine="708"/>
    </w:pPr>
    <w:rPr>
      <w:rFonts w:eastAsia="Times New Roman"/>
      <w:color w:val="00124E"/>
      <w:sz w:val="20"/>
      <w:szCs w:val="20"/>
    </w:rPr>
  </w:style>
  <w:style w:type="character" w:customStyle="1" w:styleId="af1">
    <w:name w:val="Текст примечания Знак"/>
    <w:basedOn w:val="a0"/>
    <w:link w:val="af0"/>
    <w:uiPriority w:val="99"/>
    <w:rsid w:val="00396584"/>
    <w:rPr>
      <w:rFonts w:ascii="Times New Roman" w:eastAsia="Times New Roman" w:hAnsi="Times New Roman"/>
      <w:color w:val="00124E"/>
      <w:sz w:val="20"/>
      <w:szCs w:val="20"/>
      <w:shd w:val="clear" w:color="auto" w:fill="FFFFFF"/>
    </w:rPr>
  </w:style>
  <w:style w:type="paragraph" w:styleId="af2">
    <w:name w:val="header"/>
    <w:basedOn w:val="a"/>
    <w:link w:val="af3"/>
    <w:uiPriority w:val="99"/>
    <w:semiHidden/>
    <w:unhideWhenUsed/>
    <w:rsid w:val="000C0A97"/>
    <w:pPr>
      <w:tabs>
        <w:tab w:val="center" w:pos="4677"/>
        <w:tab w:val="right" w:pos="9355"/>
      </w:tabs>
    </w:pPr>
  </w:style>
  <w:style w:type="character" w:customStyle="1" w:styleId="af3">
    <w:name w:val="Верхний колонтитул Знак"/>
    <w:basedOn w:val="a0"/>
    <w:link w:val="af2"/>
    <w:uiPriority w:val="99"/>
    <w:semiHidden/>
    <w:rsid w:val="000C0A97"/>
    <w:rPr>
      <w:rFonts w:ascii="Times New Roman" w:hAnsi="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235737">
      <w:bodyDiv w:val="1"/>
      <w:marLeft w:val="0"/>
      <w:marRight w:val="0"/>
      <w:marTop w:val="0"/>
      <w:marBottom w:val="0"/>
      <w:divBdr>
        <w:top w:val="none" w:sz="0" w:space="0" w:color="auto"/>
        <w:left w:val="none" w:sz="0" w:space="0" w:color="auto"/>
        <w:bottom w:val="none" w:sz="0" w:space="0" w:color="auto"/>
        <w:right w:val="none" w:sz="0" w:space="0" w:color="auto"/>
      </w:divBdr>
    </w:div>
    <w:div w:id="1797868596">
      <w:bodyDiv w:val="1"/>
      <w:marLeft w:val="0"/>
      <w:marRight w:val="0"/>
      <w:marTop w:val="0"/>
      <w:marBottom w:val="0"/>
      <w:divBdr>
        <w:top w:val="none" w:sz="0" w:space="0" w:color="auto"/>
        <w:left w:val="none" w:sz="0" w:space="0" w:color="auto"/>
        <w:bottom w:val="none" w:sz="0" w:space="0" w:color="auto"/>
        <w:right w:val="none" w:sz="0" w:space="0" w:color="auto"/>
      </w:divBdr>
    </w:div>
    <w:div w:id="196800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yandex.ru/yandsearch?text=%D1%86%D0%B5%D0%BD%D0%BD%D1%8B%D0%B5%20%D0%B1%D1%83%D0%BC%D0%B0%D0%B3%D0%B8%20%D0%BA%D0%B0%D0%BA%20%D0%BE%D0%B1%D1%8A%D0%B5%D0%BA%D1%82%20%D0%B1%D0%B0%D0%BD%D0%BA%D0%BE%D0%B2%D1%81%D0%BA%D0%B8%D1%85%20%D1%81%D0%B4%D0%B5%D0%BB%D0%BE%D0%BA&amp;clid=&amp;banerid=04010301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6F4A4-24A7-4C1F-B06D-023414576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9078</Words>
  <Characters>51749</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D-Tora</dc:creator>
  <cp:lastModifiedBy>Dmitrij V Stolpovskih</cp:lastModifiedBy>
  <cp:revision>2</cp:revision>
  <dcterms:created xsi:type="dcterms:W3CDTF">2015-05-14T02:23:00Z</dcterms:created>
  <dcterms:modified xsi:type="dcterms:W3CDTF">2015-05-14T02:23:00Z</dcterms:modified>
</cp:coreProperties>
</file>