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91" w:rsidRPr="00135A91" w:rsidRDefault="00135A91" w:rsidP="008B4206">
      <w:pPr>
        <w:pStyle w:val="2"/>
        <w:spacing w:line="240" w:lineRule="auto"/>
        <w:ind w:left="0"/>
        <w:jc w:val="center"/>
        <w:rPr>
          <w:smallCaps/>
          <w:sz w:val="28"/>
          <w:szCs w:val="28"/>
        </w:rPr>
      </w:pPr>
      <w:bookmarkStart w:id="0" w:name="_GoBack"/>
      <w:bookmarkEnd w:id="0"/>
      <w:r w:rsidRPr="00135A91">
        <w:rPr>
          <w:smallCaps/>
          <w:sz w:val="28"/>
          <w:szCs w:val="28"/>
        </w:rPr>
        <w:t>министерство образования и науки российской федерации</w:t>
      </w:r>
    </w:p>
    <w:p w:rsidR="00135A91" w:rsidRPr="00135A91" w:rsidRDefault="00135A91" w:rsidP="008B4206">
      <w:pPr>
        <w:pStyle w:val="2"/>
        <w:spacing w:line="240" w:lineRule="auto"/>
        <w:ind w:left="0"/>
        <w:jc w:val="center"/>
        <w:rPr>
          <w:smallCaps/>
          <w:sz w:val="28"/>
          <w:szCs w:val="28"/>
        </w:rPr>
      </w:pPr>
      <w:r w:rsidRPr="00135A91">
        <w:rPr>
          <w:smallCaps/>
          <w:sz w:val="28"/>
          <w:szCs w:val="28"/>
        </w:rPr>
        <w:t>Федеральное государственное бюджетное образовательное учреждение</w:t>
      </w:r>
    </w:p>
    <w:p w:rsidR="00135A91" w:rsidRPr="00135A91" w:rsidRDefault="00135A91" w:rsidP="008B4206">
      <w:pPr>
        <w:pStyle w:val="2"/>
        <w:spacing w:line="240" w:lineRule="auto"/>
        <w:ind w:left="0"/>
        <w:jc w:val="center"/>
        <w:rPr>
          <w:smallCaps/>
          <w:sz w:val="28"/>
          <w:szCs w:val="28"/>
        </w:rPr>
      </w:pPr>
      <w:r w:rsidRPr="00135A91">
        <w:rPr>
          <w:smallCaps/>
          <w:sz w:val="28"/>
          <w:szCs w:val="28"/>
        </w:rPr>
        <w:t>высшего профессионального образования</w:t>
      </w:r>
    </w:p>
    <w:p w:rsidR="00135A91" w:rsidRPr="00135A91" w:rsidRDefault="00135A91" w:rsidP="008B4206">
      <w:pPr>
        <w:pStyle w:val="2"/>
        <w:spacing w:line="240" w:lineRule="auto"/>
        <w:ind w:left="0"/>
        <w:jc w:val="center"/>
        <w:rPr>
          <w:smallCaps/>
          <w:sz w:val="28"/>
          <w:szCs w:val="28"/>
        </w:rPr>
      </w:pPr>
      <w:r w:rsidRPr="00135A91">
        <w:rPr>
          <w:smallCaps/>
          <w:sz w:val="28"/>
          <w:szCs w:val="28"/>
        </w:rPr>
        <w:t>«Восточно- Сибирский государственный университет технологии и управления»</w:t>
      </w:r>
    </w:p>
    <w:p w:rsidR="00135A91" w:rsidRPr="00135A91" w:rsidRDefault="00135A91" w:rsidP="008B4206">
      <w:pPr>
        <w:pStyle w:val="2"/>
        <w:spacing w:line="240" w:lineRule="auto"/>
        <w:jc w:val="center"/>
        <w:rPr>
          <w:smallCaps/>
          <w:sz w:val="28"/>
          <w:szCs w:val="28"/>
        </w:rPr>
      </w:pPr>
      <w:r w:rsidRPr="00135A91">
        <w:rPr>
          <w:smallCaps/>
          <w:sz w:val="28"/>
          <w:szCs w:val="28"/>
        </w:rPr>
        <w:t>Институт экономики и права</w:t>
      </w:r>
    </w:p>
    <w:p w:rsidR="00135A91" w:rsidRPr="00135A91" w:rsidRDefault="00135A91" w:rsidP="008B4206">
      <w:pPr>
        <w:pStyle w:val="2"/>
        <w:spacing w:line="240" w:lineRule="auto"/>
        <w:jc w:val="center"/>
        <w:rPr>
          <w:smallCaps/>
          <w:sz w:val="28"/>
          <w:szCs w:val="28"/>
        </w:rPr>
      </w:pPr>
      <w:r w:rsidRPr="00135A91">
        <w:rPr>
          <w:smallCaps/>
          <w:sz w:val="28"/>
          <w:szCs w:val="28"/>
        </w:rPr>
        <w:t>Юридический факультет</w:t>
      </w:r>
    </w:p>
    <w:p w:rsidR="00135A91" w:rsidRPr="00135A91" w:rsidRDefault="00135A91" w:rsidP="008B4206">
      <w:pPr>
        <w:pStyle w:val="2"/>
        <w:spacing w:line="240" w:lineRule="auto"/>
        <w:jc w:val="center"/>
        <w:rPr>
          <w:smallCaps/>
          <w:sz w:val="28"/>
          <w:szCs w:val="28"/>
        </w:rPr>
      </w:pPr>
      <w:r w:rsidRPr="00135A91">
        <w:rPr>
          <w:smallCaps/>
          <w:sz w:val="28"/>
          <w:szCs w:val="28"/>
        </w:rPr>
        <w:t>Кафедра «Теория и история государства и права. Конституционное право»</w:t>
      </w:r>
    </w:p>
    <w:p w:rsidR="00135A91" w:rsidRDefault="00135A91" w:rsidP="00135A91">
      <w:pPr>
        <w:pStyle w:val="2"/>
        <w:ind w:left="0"/>
        <w:jc w:val="center"/>
      </w:pPr>
    </w:p>
    <w:p w:rsidR="008B4206" w:rsidRDefault="008B4206" w:rsidP="00135A91">
      <w:pPr>
        <w:pStyle w:val="2"/>
        <w:ind w:left="0"/>
        <w:jc w:val="center"/>
        <w:rPr>
          <w:sz w:val="28"/>
          <w:szCs w:val="28"/>
        </w:rPr>
      </w:pPr>
    </w:p>
    <w:p w:rsidR="00135A91" w:rsidRDefault="00135A91" w:rsidP="00135A91">
      <w:pPr>
        <w:pStyle w:val="2"/>
        <w:ind w:left="0"/>
        <w:jc w:val="center"/>
        <w:rPr>
          <w:sz w:val="28"/>
          <w:szCs w:val="28"/>
        </w:rPr>
      </w:pPr>
      <w:r>
        <w:rPr>
          <w:sz w:val="28"/>
          <w:szCs w:val="28"/>
        </w:rPr>
        <w:t>РЕФЕРАТ</w:t>
      </w:r>
    </w:p>
    <w:p w:rsidR="00135A91" w:rsidRPr="00135A91" w:rsidRDefault="00135A91" w:rsidP="00135A91">
      <w:pPr>
        <w:pStyle w:val="2"/>
        <w:ind w:left="0"/>
        <w:jc w:val="center"/>
        <w:rPr>
          <w:sz w:val="28"/>
          <w:szCs w:val="28"/>
        </w:rPr>
      </w:pPr>
      <w:r>
        <w:rPr>
          <w:sz w:val="28"/>
          <w:szCs w:val="28"/>
        </w:rPr>
        <w:t>На тему</w:t>
      </w:r>
      <w:r w:rsidRPr="00135A91">
        <w:rPr>
          <w:sz w:val="28"/>
          <w:szCs w:val="28"/>
        </w:rPr>
        <w:t>: «Ценные бумаги как объекты гражданских прав»</w:t>
      </w:r>
    </w:p>
    <w:p w:rsidR="00135A91" w:rsidRDefault="00135A91" w:rsidP="00135A91">
      <w:pPr>
        <w:pStyle w:val="2"/>
        <w:spacing w:line="360" w:lineRule="auto"/>
        <w:ind w:left="357" w:firstLine="181"/>
        <w:rPr>
          <w:caps/>
          <w:sz w:val="24"/>
          <w:szCs w:val="24"/>
        </w:rPr>
      </w:pPr>
      <w:r>
        <w:rPr>
          <w:caps/>
          <w:sz w:val="24"/>
          <w:szCs w:val="24"/>
        </w:rPr>
        <w:t xml:space="preserve"> </w:t>
      </w:r>
    </w:p>
    <w:p w:rsidR="00135A91" w:rsidRPr="009A00DE" w:rsidRDefault="00135A91" w:rsidP="00135A91">
      <w:pPr>
        <w:pStyle w:val="2"/>
        <w:spacing w:line="360" w:lineRule="auto"/>
        <w:ind w:left="357" w:firstLine="181"/>
        <w:jc w:val="center"/>
        <w:rPr>
          <w:sz w:val="24"/>
          <w:szCs w:val="24"/>
        </w:rPr>
      </w:pPr>
    </w:p>
    <w:p w:rsidR="00135A91" w:rsidRPr="009A00DE" w:rsidRDefault="00135A91" w:rsidP="00135A91">
      <w:pPr>
        <w:pStyle w:val="2"/>
        <w:spacing w:line="360" w:lineRule="auto"/>
        <w:ind w:left="357" w:firstLine="181"/>
        <w:jc w:val="center"/>
        <w:rPr>
          <w:sz w:val="24"/>
          <w:szCs w:val="24"/>
        </w:rPr>
      </w:pPr>
    </w:p>
    <w:p w:rsidR="008B4206" w:rsidRDefault="008B4206" w:rsidP="00731DF6">
      <w:pPr>
        <w:pStyle w:val="2"/>
        <w:spacing w:line="360" w:lineRule="auto"/>
        <w:ind w:left="357" w:firstLine="181"/>
        <w:jc w:val="right"/>
        <w:rPr>
          <w:sz w:val="28"/>
          <w:szCs w:val="28"/>
        </w:rPr>
      </w:pPr>
    </w:p>
    <w:p w:rsidR="00135A91" w:rsidRPr="00731DF6" w:rsidRDefault="00731DF6" w:rsidP="00731DF6">
      <w:pPr>
        <w:pStyle w:val="2"/>
        <w:spacing w:line="360" w:lineRule="auto"/>
        <w:ind w:left="357" w:firstLine="181"/>
        <w:jc w:val="right"/>
        <w:rPr>
          <w:sz w:val="28"/>
          <w:szCs w:val="28"/>
        </w:rPr>
      </w:pPr>
      <w:r w:rsidRPr="00731DF6">
        <w:rPr>
          <w:sz w:val="28"/>
          <w:szCs w:val="28"/>
        </w:rPr>
        <w:t>Выполнил студент группы Д 573- 5 Чулдум- оол А.А</w:t>
      </w:r>
    </w:p>
    <w:p w:rsidR="00731DF6" w:rsidRPr="00731DF6" w:rsidRDefault="00731DF6" w:rsidP="00731DF6">
      <w:pPr>
        <w:pStyle w:val="2"/>
        <w:spacing w:line="360" w:lineRule="auto"/>
        <w:ind w:left="357" w:firstLine="181"/>
        <w:jc w:val="right"/>
        <w:rPr>
          <w:sz w:val="28"/>
          <w:szCs w:val="28"/>
        </w:rPr>
      </w:pPr>
      <w:r w:rsidRPr="00731DF6">
        <w:rPr>
          <w:sz w:val="28"/>
          <w:szCs w:val="28"/>
        </w:rPr>
        <w:t xml:space="preserve">Проверила: </w:t>
      </w:r>
      <w:r w:rsidRPr="00731DF6">
        <w:rPr>
          <w:color w:val="000000"/>
          <w:sz w:val="28"/>
          <w:szCs w:val="28"/>
        </w:rPr>
        <w:t>Гордеева Э.В.</w:t>
      </w:r>
    </w:p>
    <w:p w:rsidR="00135A91" w:rsidRPr="009A00DE" w:rsidRDefault="00135A91" w:rsidP="00135A91">
      <w:pPr>
        <w:pStyle w:val="2"/>
        <w:spacing w:line="360" w:lineRule="auto"/>
        <w:ind w:left="357" w:firstLine="181"/>
        <w:jc w:val="right"/>
        <w:rPr>
          <w:sz w:val="24"/>
          <w:szCs w:val="24"/>
        </w:rPr>
      </w:pPr>
    </w:p>
    <w:p w:rsidR="00135A91" w:rsidRDefault="00135A91" w:rsidP="00135A91">
      <w:pPr>
        <w:pStyle w:val="2"/>
        <w:spacing w:line="360" w:lineRule="auto"/>
        <w:ind w:left="357" w:firstLine="181"/>
        <w:jc w:val="center"/>
        <w:rPr>
          <w:sz w:val="24"/>
          <w:szCs w:val="24"/>
        </w:rPr>
      </w:pPr>
    </w:p>
    <w:p w:rsidR="00135A91" w:rsidRDefault="00135A91" w:rsidP="00135A91">
      <w:pPr>
        <w:pStyle w:val="2"/>
        <w:spacing w:line="360" w:lineRule="auto"/>
        <w:ind w:left="357" w:firstLine="181"/>
        <w:jc w:val="center"/>
        <w:rPr>
          <w:sz w:val="24"/>
          <w:szCs w:val="24"/>
        </w:rPr>
      </w:pPr>
    </w:p>
    <w:p w:rsidR="00135A91" w:rsidRDefault="00135A91" w:rsidP="00135A91">
      <w:pPr>
        <w:pStyle w:val="2"/>
        <w:spacing w:line="360" w:lineRule="auto"/>
        <w:ind w:left="0"/>
        <w:rPr>
          <w:sz w:val="24"/>
          <w:szCs w:val="24"/>
        </w:rPr>
      </w:pPr>
    </w:p>
    <w:p w:rsidR="00135A91" w:rsidRDefault="00135A91" w:rsidP="00135A91">
      <w:pPr>
        <w:pStyle w:val="2"/>
        <w:spacing w:line="360" w:lineRule="auto"/>
        <w:ind w:left="0"/>
        <w:rPr>
          <w:sz w:val="24"/>
          <w:szCs w:val="24"/>
        </w:rPr>
      </w:pPr>
    </w:p>
    <w:p w:rsidR="00135A91" w:rsidRDefault="00135A91" w:rsidP="00135A91">
      <w:pPr>
        <w:pStyle w:val="2"/>
        <w:spacing w:line="360" w:lineRule="auto"/>
        <w:ind w:left="0"/>
        <w:rPr>
          <w:sz w:val="24"/>
          <w:szCs w:val="24"/>
        </w:rPr>
      </w:pPr>
    </w:p>
    <w:p w:rsidR="00731DF6" w:rsidRDefault="00135A91" w:rsidP="00731DF6">
      <w:pPr>
        <w:pStyle w:val="2"/>
        <w:spacing w:line="360" w:lineRule="auto"/>
        <w:ind w:left="0"/>
        <w:jc w:val="center"/>
        <w:rPr>
          <w:sz w:val="28"/>
          <w:szCs w:val="28"/>
        </w:rPr>
      </w:pPr>
      <w:r w:rsidRPr="00731DF6">
        <w:rPr>
          <w:sz w:val="28"/>
          <w:szCs w:val="28"/>
        </w:rPr>
        <w:t>Улан-Удэ, 20</w:t>
      </w:r>
      <w:r w:rsidRPr="00731DF6">
        <w:rPr>
          <w:sz w:val="28"/>
          <w:szCs w:val="28"/>
        </w:rPr>
        <w:softHyphen/>
      </w:r>
      <w:r w:rsidRPr="00731DF6">
        <w:rPr>
          <w:sz w:val="28"/>
          <w:szCs w:val="28"/>
        </w:rPr>
        <w:softHyphen/>
      </w:r>
      <w:r w:rsidR="00731DF6">
        <w:rPr>
          <w:sz w:val="28"/>
          <w:szCs w:val="28"/>
        </w:rPr>
        <w:t>14г</w:t>
      </w:r>
    </w:p>
    <w:p w:rsidR="008B4206" w:rsidRDefault="008B4206" w:rsidP="00731DF6">
      <w:pPr>
        <w:pStyle w:val="2"/>
        <w:spacing w:line="360" w:lineRule="auto"/>
        <w:ind w:left="0"/>
        <w:rPr>
          <w:color w:val="000000"/>
          <w:sz w:val="28"/>
          <w:szCs w:val="28"/>
        </w:rPr>
      </w:pPr>
    </w:p>
    <w:p w:rsidR="001E7B5D" w:rsidRPr="00731DF6" w:rsidRDefault="001E7B5D" w:rsidP="00731DF6">
      <w:pPr>
        <w:pStyle w:val="2"/>
        <w:spacing w:line="360" w:lineRule="auto"/>
        <w:ind w:left="0"/>
        <w:rPr>
          <w:sz w:val="28"/>
          <w:szCs w:val="28"/>
        </w:rPr>
      </w:pPr>
      <w:r>
        <w:rPr>
          <w:color w:val="000000"/>
          <w:sz w:val="28"/>
          <w:szCs w:val="28"/>
        </w:rPr>
        <w:lastRenderedPageBreak/>
        <w:t>Содержание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w:t>
      </w:r>
      <w:r w:rsidR="00731DF6">
        <w:rPr>
          <w:rFonts w:ascii="Times New Roman" w:eastAsia="Times New Roman" w:hAnsi="Times New Roman" w:cs="Times New Roman"/>
          <w:color w:val="000000"/>
          <w:sz w:val="28"/>
          <w:szCs w:val="28"/>
        </w:rPr>
        <w:t>…………………………………………………………………………..3</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1E7B5D">
        <w:rPr>
          <w:rFonts w:ascii="Times New Roman" w:eastAsia="Times New Roman" w:hAnsi="Times New Roman" w:cs="Times New Roman"/>
          <w:color w:val="000000"/>
          <w:sz w:val="28"/>
          <w:szCs w:val="28"/>
        </w:rPr>
        <w:t>Ценные бумаги, как объект гражданских прав</w:t>
      </w:r>
      <w:r w:rsidR="00731DF6">
        <w:rPr>
          <w:rFonts w:ascii="Times New Roman" w:eastAsia="Times New Roman" w:hAnsi="Times New Roman" w:cs="Times New Roman"/>
          <w:color w:val="000000"/>
          <w:sz w:val="28"/>
          <w:szCs w:val="28"/>
        </w:rPr>
        <w:t>………………………………7</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1E7B5D">
        <w:rPr>
          <w:rFonts w:ascii="Times New Roman" w:eastAsia="Times New Roman" w:hAnsi="Times New Roman" w:cs="Times New Roman"/>
          <w:color w:val="000000"/>
          <w:sz w:val="28"/>
          <w:szCs w:val="28"/>
        </w:rPr>
        <w:t>Виды ценных бумаг</w:t>
      </w:r>
      <w:r w:rsidR="00731DF6">
        <w:rPr>
          <w:rFonts w:ascii="Times New Roman" w:eastAsia="Times New Roman" w:hAnsi="Times New Roman" w:cs="Times New Roman"/>
          <w:color w:val="000000"/>
          <w:sz w:val="28"/>
          <w:szCs w:val="28"/>
        </w:rPr>
        <w:t>……………………………………………………………7</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1E7B5D">
        <w:rPr>
          <w:rFonts w:ascii="Times New Roman" w:eastAsia="Times New Roman" w:hAnsi="Times New Roman" w:cs="Times New Roman"/>
          <w:color w:val="000000"/>
          <w:sz w:val="28"/>
          <w:szCs w:val="28"/>
        </w:rPr>
        <w:t>Требования к ценной бумаге</w:t>
      </w:r>
      <w:r w:rsidR="00731DF6">
        <w:rPr>
          <w:rFonts w:ascii="Times New Roman" w:eastAsia="Times New Roman" w:hAnsi="Times New Roman" w:cs="Times New Roman"/>
          <w:color w:val="000000"/>
          <w:sz w:val="28"/>
          <w:szCs w:val="28"/>
        </w:rPr>
        <w:t>…………………………………………………11</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1E7B5D">
        <w:rPr>
          <w:rFonts w:ascii="Times New Roman" w:eastAsia="Times New Roman" w:hAnsi="Times New Roman" w:cs="Times New Roman"/>
          <w:color w:val="000000"/>
          <w:sz w:val="28"/>
          <w:szCs w:val="28"/>
        </w:rPr>
        <w:t>Передача прав по ценной бумаге</w:t>
      </w:r>
      <w:r w:rsidR="00731DF6">
        <w:rPr>
          <w:rFonts w:ascii="Times New Roman" w:eastAsia="Times New Roman" w:hAnsi="Times New Roman" w:cs="Times New Roman"/>
          <w:color w:val="000000"/>
          <w:sz w:val="28"/>
          <w:szCs w:val="28"/>
        </w:rPr>
        <w:t>…………………………………………….12</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1E7B5D">
        <w:rPr>
          <w:rFonts w:ascii="Times New Roman" w:eastAsia="Times New Roman" w:hAnsi="Times New Roman" w:cs="Times New Roman"/>
          <w:color w:val="000000"/>
          <w:sz w:val="28"/>
          <w:szCs w:val="28"/>
        </w:rPr>
        <w:t>Исполнение по ценной бумаге</w:t>
      </w:r>
      <w:r w:rsidR="00731DF6">
        <w:rPr>
          <w:rFonts w:ascii="Times New Roman" w:eastAsia="Times New Roman" w:hAnsi="Times New Roman" w:cs="Times New Roman"/>
          <w:color w:val="000000"/>
          <w:sz w:val="28"/>
          <w:szCs w:val="28"/>
        </w:rPr>
        <w:t>……………………………………………….13</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1E7B5D">
        <w:rPr>
          <w:rFonts w:ascii="Times New Roman" w:eastAsia="Times New Roman" w:hAnsi="Times New Roman" w:cs="Times New Roman"/>
          <w:color w:val="000000"/>
          <w:sz w:val="28"/>
          <w:szCs w:val="28"/>
        </w:rPr>
        <w:t>Восстановление ценной бумаги</w:t>
      </w:r>
      <w:r w:rsidR="00731DF6">
        <w:rPr>
          <w:rFonts w:ascii="Times New Roman" w:eastAsia="Times New Roman" w:hAnsi="Times New Roman" w:cs="Times New Roman"/>
          <w:color w:val="000000"/>
          <w:sz w:val="28"/>
          <w:szCs w:val="28"/>
        </w:rPr>
        <w:t>……………………………………………...14</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Pr="001E7B5D">
        <w:rPr>
          <w:rFonts w:ascii="Times New Roman" w:eastAsia="Times New Roman" w:hAnsi="Times New Roman" w:cs="Times New Roman"/>
          <w:color w:val="000000"/>
          <w:sz w:val="28"/>
          <w:szCs w:val="28"/>
        </w:rPr>
        <w:t>Бездокументарные ценные бумаги</w:t>
      </w:r>
      <w:r w:rsidR="00731DF6">
        <w:rPr>
          <w:rFonts w:ascii="Times New Roman" w:eastAsia="Times New Roman" w:hAnsi="Times New Roman" w:cs="Times New Roman"/>
          <w:color w:val="000000"/>
          <w:sz w:val="28"/>
          <w:szCs w:val="28"/>
        </w:rPr>
        <w:t>…………………………………………..14</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Pr="001E7B5D">
        <w:rPr>
          <w:rFonts w:ascii="Times New Roman" w:eastAsia="Times New Roman" w:hAnsi="Times New Roman" w:cs="Times New Roman"/>
          <w:color w:val="000000"/>
          <w:sz w:val="28"/>
          <w:szCs w:val="28"/>
        </w:rPr>
        <w:t>Источники правового регулирования вопросов эмиссии и</w:t>
      </w:r>
      <w:r>
        <w:rPr>
          <w:rFonts w:ascii="Times New Roman" w:eastAsia="Times New Roman" w:hAnsi="Times New Roman" w:cs="Times New Roman"/>
          <w:color w:val="000000"/>
          <w:sz w:val="28"/>
          <w:szCs w:val="28"/>
        </w:rPr>
        <w:t xml:space="preserve"> </w:t>
      </w:r>
      <w:r w:rsidRPr="001E7B5D">
        <w:rPr>
          <w:rFonts w:ascii="Times New Roman" w:eastAsia="Times New Roman" w:hAnsi="Times New Roman" w:cs="Times New Roman"/>
          <w:color w:val="000000"/>
          <w:sz w:val="28"/>
          <w:szCs w:val="28"/>
        </w:rPr>
        <w:t>обращения ценных бумаг</w:t>
      </w:r>
      <w:r w:rsidR="00731DF6">
        <w:rPr>
          <w:rFonts w:ascii="Times New Roman" w:eastAsia="Times New Roman" w:hAnsi="Times New Roman" w:cs="Times New Roman"/>
          <w:color w:val="000000"/>
          <w:sz w:val="28"/>
          <w:szCs w:val="28"/>
        </w:rPr>
        <w:t>…………………………………………………………………….15</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Заключение</w:t>
      </w:r>
      <w:r w:rsidR="00731DF6">
        <w:rPr>
          <w:rFonts w:ascii="Times New Roman" w:eastAsia="Times New Roman" w:hAnsi="Times New Roman" w:cs="Times New Roman"/>
          <w:color w:val="000000"/>
          <w:sz w:val="28"/>
          <w:szCs w:val="28"/>
        </w:rPr>
        <w:t>………………………………………………………………………17</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Используемая литература</w:t>
      </w:r>
      <w:r w:rsidR="00731DF6">
        <w:rPr>
          <w:rFonts w:ascii="Times New Roman" w:eastAsia="Times New Roman" w:hAnsi="Times New Roman" w:cs="Times New Roman"/>
          <w:color w:val="000000"/>
          <w:sz w:val="28"/>
          <w:szCs w:val="28"/>
        </w:rPr>
        <w:t>………………………………………………………19</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731DF6" w:rsidRDefault="00731DF6" w:rsidP="001E7B5D">
      <w:pPr>
        <w:shd w:val="clear" w:color="auto" w:fill="FFFFFF"/>
        <w:spacing w:after="0" w:line="360" w:lineRule="auto"/>
        <w:jc w:val="both"/>
        <w:rPr>
          <w:rFonts w:ascii="Times New Roman" w:eastAsia="Times New Roman" w:hAnsi="Times New Roman" w:cs="Times New Roman"/>
          <w:color w:val="333333"/>
          <w:sz w:val="28"/>
          <w:szCs w:val="28"/>
        </w:rPr>
      </w:pPr>
    </w:p>
    <w:p w:rsidR="00731DF6" w:rsidRDefault="00731DF6" w:rsidP="001E7B5D">
      <w:pPr>
        <w:shd w:val="clear" w:color="auto" w:fill="FFFFFF"/>
        <w:spacing w:after="0" w:line="360" w:lineRule="auto"/>
        <w:jc w:val="both"/>
        <w:rPr>
          <w:rFonts w:ascii="Times New Roman" w:eastAsia="Times New Roman" w:hAnsi="Times New Roman" w:cs="Times New Roman"/>
          <w:color w:val="333333"/>
          <w:sz w:val="28"/>
          <w:szCs w:val="28"/>
        </w:rPr>
      </w:pPr>
    </w:p>
    <w:p w:rsidR="00731DF6" w:rsidRDefault="00731DF6" w:rsidP="001E7B5D">
      <w:pPr>
        <w:shd w:val="clear" w:color="auto" w:fill="FFFFFF"/>
        <w:spacing w:after="0" w:line="360" w:lineRule="auto"/>
        <w:jc w:val="both"/>
        <w:rPr>
          <w:rFonts w:ascii="Times New Roman" w:eastAsia="Times New Roman" w:hAnsi="Times New Roman" w:cs="Times New Roman"/>
          <w:color w:val="333333"/>
          <w:sz w:val="28"/>
          <w:szCs w:val="28"/>
        </w:rPr>
      </w:pPr>
    </w:p>
    <w:p w:rsidR="001E7B5D" w:rsidRPr="001E7B5D" w:rsidRDefault="001E7B5D" w:rsidP="007F1535">
      <w:pPr>
        <w:shd w:val="clear" w:color="auto" w:fill="FFFFFF"/>
        <w:spacing w:after="0" w:line="360" w:lineRule="auto"/>
        <w:jc w:val="center"/>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lastRenderedPageBreak/>
        <w:t>Введение</w:t>
      </w:r>
    </w:p>
    <w:p w:rsidR="001E7B5D" w:rsidRPr="001E7B5D" w:rsidRDefault="001E7B5D" w:rsidP="001E7B5D">
      <w:pPr>
        <w:spacing w:after="0" w:line="360" w:lineRule="auto"/>
        <w:ind w:firstLine="300"/>
        <w:jc w:val="both"/>
        <w:rPr>
          <w:rFonts w:ascii="Times New Roman" w:eastAsia="Times New Roman" w:hAnsi="Times New Roman" w:cs="Times New Roman"/>
          <w:sz w:val="28"/>
          <w:szCs w:val="28"/>
        </w:rPr>
      </w:pPr>
      <w:r w:rsidRPr="001E7B5D">
        <w:rPr>
          <w:rFonts w:ascii="Times New Roman" w:eastAsia="Times New Roman" w:hAnsi="Times New Roman" w:cs="Times New Roman"/>
          <w:color w:val="333333"/>
          <w:sz w:val="28"/>
          <w:szCs w:val="28"/>
          <w:shd w:val="clear" w:color="auto" w:fill="FFFFFF"/>
        </w:rPr>
        <w:t>Законодательство, регулирующее рынок ценных бумаг, далеко от совершенства. Тем не менее сам рынок есть, он функционирует и развивается; он оказывает влияние на положение дел в государстве и способствует развитию предпринимательства.</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Ранее, до наступления рыночных отношений, в полностью огосударствленной экономике, оборот ценных бумаг был очень небольшим и был представлен облигациями (целевыми и нецелевыми), сберегательными книжками на предъявителя, выигрышными лотерейными билетами, аккредитивами гострудсберкасс. Между юридическими лицами использовались расчетные чеки. С развитием рыночных отношений увеличилось количество видов ценных бумаг и стал формироваться фондовый рынок.</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Относительно серьезно рынок ценных бумаг начал работать в России в 1991 году и тогда же началось активное законотворчество в этой области. К 1993 году в Российской Федерации действовало уже около 100 нормативных актов, регулирующих эту сферу деятельности.</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В целом, действующее законодательство наиболее полно регулирует такие вопросы, как допуск тех или иных лиц на рынок ценных бумаг, порядок и условия лицензирования профессиональных участников. В последнее время появляется все больше нормативных актов, посвященных вопросам защиты прав и интересов инвесторов, а также усилению государственного контроля в данной сфере.</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Важной вехой в развитии законодательства о ценных бумагах явилось принятие 30 ноября 1994 года части I Гражданского Кодекса Российской Федерации, который был разработан на основе практического опыта правового регулирования рыночных отношений.</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lastRenderedPageBreak/>
        <w:t>ГК РФ включил в себя четко определенные категории правовых институтов, регулирующих имущественные права, осуществление или передача которых возможны при предъявлении ценной бумаги.</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По сравнению с ранее действовавшим регулированием института ценных бумаг (в Основах гражданского законодательства Союза ССР и республик 1991 г.) в новом ГК РФ есть ряд существенных новелл. К их числу относятся: 1) новое определение понятия ценной бумаги в ст. 142 ГК РФ (введение в него обязательной формы и реквизитов; необходимости предъявления ценной бумаги для ее передачи; достаточность доказательства закрепления ценных бумаг в реестре (обычном или компьютеризированном) для осуществления и передачи прав, удостоверенных ценной бумагой); 2) критерием деления ценных бумаг на предъявительские, ордерные и именные законодателем выбран принцип сочетания двух способов - обозначения и легитимации управомоченного лица - ст. 145 ГК РФ; 3) порядок восстановления ценной бумаги - ст. 148 ГК РФ; 4) выделение института бездокументарных ценных бумаг - ст. 149 ГК РФ.</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Ценные бумаги - необходимый атрибут всякого рыночного хозяйства. Ранее во внутреннем гражданском обороте находилось лишь минимальное количество ценных бумаг, в основном выпущенных (эмитированных) государством: облигации, предъявительские сберкнижки и аккредитивы, выигравшие лотерейные билеты, а в расчетах между юридическими лицами мог использоваться расчетный чек.</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С переходом к рыночной экономике оборот ценных бумаг резко возрос, стал формироваться их рынок. Правда он касался лишь так называемых “фондовых”, или “инвестиционных”, ценных бумаг - акций и облигаций, а главное, получил крайне неудовлетворительную правовую регламентацию, недостатки которой составили базу для многих злоупотреблений.</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lastRenderedPageBreak/>
        <w:t>Важнейшими задачами рынка ценных бумаг являются обеспечение гибкого межотраслевого перераспределения инвестиционных ресурсов, привлечение инвестиций на российские предприятия, создание условий для стимулирования накоплений и последующего их инвестирования. Для решения этих задач необходимо было создать надежную правовую базу.</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Федеральный Закон “О рынке ценных бумаг” - первый российский закон о ценных бумагах.</w:t>
      </w:r>
    </w:p>
    <w:p w:rsid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Одна из главных задач, которую должен был решить Закон, - максимальная защита прав инвесторов и обеспечение правопорядка на рынке, при котором его участники четко выполняют требования законодательства.</w:t>
      </w:r>
      <w:r>
        <w:rPr>
          <w:rFonts w:ascii="Times New Roman" w:eastAsia="Times New Roman" w:hAnsi="Times New Roman" w:cs="Times New Roman"/>
          <w:color w:val="333333"/>
          <w:sz w:val="28"/>
          <w:szCs w:val="28"/>
        </w:rPr>
        <w:t xml:space="preserve">                                                                                        </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Один из принципов, закрепленных в Законе, - сочетание вертикально-властного государственного регулирования с саморегулированием. Саморегулируемые организации получают блок полномочий и законный статус, а единая государственная политика на фондовом рынке обеспечивается путем концентрации полномочий в этой сфере в одном органе - Федеральной комиссии по рынку ценных бумаг, при этом ряд функций сохраняется за Банком России. Комиссия подчиняется непосредственно Президенту РФ, и этот факт свидетельствует о той значимости, которая придается фондовому рынку в экономике.</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t>В законе положено начало установлению ответственности за использование служебной информации, а также выделена информация на рынке ценных бумаг как система отношений.</w:t>
      </w:r>
    </w:p>
    <w:p w:rsidR="001E7B5D" w:rsidRPr="001E7B5D" w:rsidRDefault="001E7B5D" w:rsidP="001E7B5D">
      <w:pPr>
        <w:shd w:val="clear" w:color="auto" w:fill="FFFFFF"/>
        <w:spacing w:after="432" w:line="360" w:lineRule="auto"/>
        <w:ind w:firstLine="300"/>
        <w:jc w:val="both"/>
        <w:rPr>
          <w:rFonts w:ascii="Times New Roman" w:eastAsia="Times New Roman" w:hAnsi="Times New Roman" w:cs="Times New Roman"/>
          <w:color w:val="333333"/>
          <w:sz w:val="28"/>
          <w:szCs w:val="28"/>
        </w:rPr>
      </w:pPr>
      <w:r w:rsidRPr="001E7B5D">
        <w:rPr>
          <w:rFonts w:ascii="Times New Roman" w:eastAsia="Times New Roman" w:hAnsi="Times New Roman" w:cs="Times New Roman"/>
          <w:color w:val="333333"/>
          <w:sz w:val="28"/>
          <w:szCs w:val="28"/>
        </w:rPr>
        <w:lastRenderedPageBreak/>
        <w:t>Таким образом, Закон вносит упорядоченность и стабильность на рынке, без которого его интенсивное и качественное развитие практически невозможно.</w:t>
      </w:r>
    </w:p>
    <w:p w:rsidR="001E7B5D" w:rsidRPr="001E7B5D" w:rsidRDefault="001E7B5D" w:rsidP="001E7B5D">
      <w:pPr>
        <w:shd w:val="clear" w:color="auto" w:fill="FFFFFF"/>
        <w:spacing w:after="0" w:line="360" w:lineRule="auto"/>
        <w:ind w:firstLine="300"/>
        <w:jc w:val="both"/>
        <w:rPr>
          <w:rFonts w:ascii="Verdana" w:eastAsia="Times New Roman" w:hAnsi="Verdana" w:cs="Times New Roman"/>
          <w:color w:val="333333"/>
          <w:sz w:val="20"/>
          <w:szCs w:val="20"/>
        </w:rPr>
      </w:pPr>
      <w:r w:rsidRPr="001E7B5D">
        <w:rPr>
          <w:rFonts w:ascii="Times New Roman" w:eastAsia="Times New Roman" w:hAnsi="Times New Roman" w:cs="Times New Roman"/>
          <w:color w:val="333333"/>
          <w:sz w:val="28"/>
          <w:szCs w:val="28"/>
        </w:rPr>
        <w:t>Рынок ценных бумаг является сферой отношений, бурно развивающейся последние несколько лет. Это относится не только к появлению новых финансовых инструментов, новых сегментов инфраструктуры рынка, но и к многочисленным попыткам их законодательного регулирования.</w:t>
      </w:r>
      <w:r w:rsidRPr="001E7B5D">
        <w:rPr>
          <w:rFonts w:ascii="Times New Roman" w:eastAsia="Times New Roman" w:hAnsi="Times New Roman" w:cs="Times New Roman"/>
          <w:color w:val="333333"/>
          <w:sz w:val="28"/>
          <w:szCs w:val="28"/>
        </w:rPr>
        <w:br/>
      </w:r>
      <w:r w:rsidRPr="001E7B5D">
        <w:rPr>
          <w:rFonts w:ascii="Verdana" w:eastAsia="Times New Roman" w:hAnsi="Verdana" w:cs="Times New Roman"/>
          <w:color w:val="333333"/>
          <w:sz w:val="20"/>
          <w:szCs w:val="20"/>
        </w:rPr>
        <w:br/>
      </w: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Default="001E7B5D"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731DF6" w:rsidRDefault="00731DF6"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731DF6" w:rsidRDefault="00731DF6"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731DF6" w:rsidRDefault="00731DF6"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Pr="00135A91" w:rsidRDefault="001E7B5D" w:rsidP="00135A91">
      <w:pPr>
        <w:pStyle w:val="a5"/>
        <w:numPr>
          <w:ilvl w:val="0"/>
          <w:numId w:val="2"/>
        </w:numPr>
        <w:spacing w:before="100" w:beforeAutospacing="1" w:after="100" w:afterAutospacing="1" w:line="360" w:lineRule="auto"/>
        <w:jc w:val="center"/>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color w:val="000000"/>
          <w:sz w:val="28"/>
          <w:szCs w:val="28"/>
        </w:rPr>
        <w:t>Ценные бумаги, как объект гражданских прав</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 xml:space="preserve"> </w:t>
      </w:r>
      <w:r w:rsidR="007F1535">
        <w:rPr>
          <w:rFonts w:ascii="Times New Roman" w:eastAsia="Times New Roman" w:hAnsi="Times New Roman" w:cs="Times New Roman"/>
          <w:color w:val="000000"/>
          <w:sz w:val="28"/>
          <w:szCs w:val="28"/>
        </w:rPr>
        <w:tab/>
      </w:r>
      <w:r w:rsidRPr="001E7B5D">
        <w:rPr>
          <w:rFonts w:ascii="Times New Roman" w:eastAsia="Times New Roman" w:hAnsi="Times New Roman" w:cs="Times New Roman"/>
          <w:color w:val="000000"/>
          <w:sz w:val="28"/>
          <w:szCs w:val="28"/>
        </w:rPr>
        <w:t>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С передачей ценной бумаги переходят все удостоверяемые ею права в совокупности.</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 случаях, предусмотренных законом или в установленном им порядке,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 </w:t>
      </w:r>
      <w:r w:rsidRPr="001E7B5D">
        <w:rPr>
          <w:rFonts w:ascii="Times New Roman" w:eastAsia="Times New Roman" w:hAnsi="Times New Roman" w:cs="Times New Roman"/>
          <w:color w:val="000000"/>
          <w:sz w:val="28"/>
          <w:szCs w:val="28"/>
        </w:rPr>
        <w:br/>
        <w:t>     Ценные бумаги выступают таким объектом права, который обладает наиболее высокими темпами оборота. Для поддержания высокой оборотоспособности законодатель установил для них некоторые особые правила. Так, передача ценной бумаги всегда означает передачу всей совокупности воплощенных в ней прав; частичная передача таких прав недопустима.     Кроме того, ценные бумаги выступают документами, для которых требуется неукоснительное соблюдение формальных требований - реквизитов; отсутствие любого из них влечет недействительность документа. </w:t>
      </w:r>
    </w:p>
    <w:p w:rsidR="001E7B5D" w:rsidRPr="00135A91" w:rsidRDefault="001E7B5D" w:rsidP="00135A91">
      <w:pPr>
        <w:pStyle w:val="a5"/>
        <w:numPr>
          <w:ilvl w:val="0"/>
          <w:numId w:val="2"/>
        </w:numPr>
        <w:spacing w:before="100" w:beforeAutospacing="1" w:after="100" w:afterAutospacing="1" w:line="360" w:lineRule="auto"/>
        <w:jc w:val="center"/>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color w:val="000000"/>
          <w:sz w:val="28"/>
          <w:szCs w:val="28"/>
        </w:rPr>
        <w:t>Виды ценных бумаг</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 К ценным бумагам относятся бездокументарные ценные бумаги (ст. 149 ГК). Права, закрепляемые именной или ордерной бездокументарной ценной бумагой, фиксируются с помощью средств электронно-вычислительной техники.</w:t>
      </w:r>
    </w:p>
    <w:p w:rsidR="001E7B5D" w:rsidRPr="001E7B5D" w:rsidRDefault="001E7B5D" w:rsidP="001E7B5D">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iCs/>
          <w:color w:val="000000"/>
          <w:sz w:val="28"/>
          <w:szCs w:val="28"/>
        </w:rPr>
        <w:t>Облигация.</w:t>
      </w:r>
      <w:r w:rsidRPr="001E7B5D">
        <w:rPr>
          <w:rFonts w:ascii="Times New Roman" w:eastAsia="Times New Roman" w:hAnsi="Times New Roman" w:cs="Times New Roman"/>
          <w:color w:val="000000"/>
          <w:sz w:val="28"/>
          <w:szCs w:val="28"/>
        </w:rPr>
        <w:t> Облигация является видом ценной бумаги, удостоверяет внесение её владельцем денежных средств на сумму, указанную в облигации. Владелец облигации наделяется правом в установленный срок получить номинальную стоимость облигации и фиксированного процента, если иное не предусмотрено условиями выпуска. В зависимости от субъекта, выпускающего облигации и гарантирующего уплату её владельцу указанной суммы и оговорённых процентов, облигации подразделяются на государственные, муниципальные и юридических лиц. Облигации внутреннего займа - одни из наиболее предпочтительных ценных бумаг на современном фондовом рынке ввиду того, что обязательства, удостоверенные ими, исполняются государством.</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Облигации могут выпускаться именными и на предъявителя, процентными и целевыми, свободно обращающимися и с ограниченным кругом обращения. Доход по процентным облигациям выплачивается путём начисления процентов к номиналу без ежегодных выплат. По облигациям целевых займов доход не выплачивается. Владельцу такой облигации предоставляется право на приобретение соответствующих товаров или услуг. По процентным облигациям выплачивается фиксированный процент.</w:t>
      </w:r>
    </w:p>
    <w:p w:rsidR="001E7B5D" w:rsidRPr="001E7B5D" w:rsidRDefault="001E7B5D" w:rsidP="001E7B5D">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iCs/>
          <w:color w:val="000000"/>
          <w:sz w:val="28"/>
          <w:szCs w:val="28"/>
        </w:rPr>
        <w:t>Вексель</w:t>
      </w:r>
      <w:r w:rsidRPr="00135A91">
        <w:rPr>
          <w:rFonts w:ascii="Times New Roman" w:eastAsia="Times New Roman" w:hAnsi="Times New Roman" w:cs="Times New Roman"/>
          <w:bCs/>
          <w:i/>
          <w:iCs/>
          <w:color w:val="000000"/>
          <w:sz w:val="28"/>
          <w:szCs w:val="28"/>
        </w:rPr>
        <w:t>.</w:t>
      </w:r>
      <w:r w:rsidRPr="001E7B5D">
        <w:rPr>
          <w:rFonts w:ascii="Times New Roman" w:eastAsia="Times New Roman" w:hAnsi="Times New Roman" w:cs="Times New Roman"/>
          <w:color w:val="000000"/>
          <w:sz w:val="28"/>
          <w:szCs w:val="28"/>
        </w:rPr>
        <w:t> Вексель удостоверяет ничем не обусловленное обязательство векселедателя либо иного указанного лица в качестве плательщика выплатить векселедержателю по наступлении предусмотренного срока обусловленную сумму. Вексель может быть простым и переводным. Простой вексель означает обязательство векседателя оплатить в указанный срок оговоренную сумму векселедержателю или тому, кого он назовёт. Более широко используется переводной вексель – тратта, по которому плательщиком выступает не векселедержатель, а третье лицо.</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Чаще всего вексель применяется в тех случаях, когда в соответствии с условиями заключённого договора товары поставляются или услуги оказываются в кредит. В этом случае вексель представляет собой письменное распоряжение банку перечислить в установленные сроки с его расчётного счёта оговорённую в векселе сумму на расчётный счёт продавца.</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Денежную сумму, указанную в векселе, можно получить только после наступления срока платежа.</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Вексель является ценной бумагой и, как любая ценная бумага, он удостоверяет имущественное право, которое может быть осуществлено только при предъявлении подлинника этого документа.</w:t>
      </w:r>
    </w:p>
    <w:p w:rsidR="001E7B5D" w:rsidRPr="001E7B5D" w:rsidRDefault="001E7B5D" w:rsidP="001E7B5D">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iCs/>
          <w:color w:val="000000"/>
          <w:sz w:val="28"/>
          <w:szCs w:val="28"/>
        </w:rPr>
        <w:t>Чек.</w:t>
      </w:r>
      <w:r w:rsidRPr="001E7B5D">
        <w:rPr>
          <w:rFonts w:ascii="Times New Roman" w:eastAsia="Times New Roman" w:hAnsi="Times New Roman" w:cs="Times New Roman"/>
          <w:color w:val="000000"/>
          <w:sz w:val="28"/>
          <w:szCs w:val="28"/>
        </w:rPr>
        <w:t> Один из видов ценной бумаги – чек, служащий важнейшим платёжным средством. В нём выражена односторонняя обязанность чекодателя оплатить чек, если плательщик отказался от оплаты.</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При расчёте чеками владелец счёта – чекодатель даёт безусловное письменное распоряжение банку, который выдал расчётные чеки, выплатить конкретную денежную сумму чекодержателю или по его приказу. Обязанность плательщика оплатить чек вытекает из договора банковского счёта, заключённого чекодателем с банком-плательщиком. Бланки чеков подлежат строгой отчётности.</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Основные отличия чека от векселя заключаются в том, что чек оплачивается по предъявлении, а вексель может быть предъявительским и срочным; чек всегда выписывается на банк, в котором чекодатель имеет счёт.</w:t>
      </w:r>
    </w:p>
    <w:p w:rsidR="001E7B5D" w:rsidRPr="001E7B5D" w:rsidRDefault="001E7B5D" w:rsidP="001E7B5D">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iCs/>
          <w:color w:val="000000"/>
          <w:sz w:val="28"/>
          <w:szCs w:val="28"/>
        </w:rPr>
        <w:t>Депозитный и сбрегательный сертификаты</w:t>
      </w:r>
      <w:r w:rsidRPr="001E7B5D">
        <w:rPr>
          <w:rFonts w:ascii="Times New Roman" w:eastAsia="Times New Roman" w:hAnsi="Times New Roman" w:cs="Times New Roman"/>
          <w:b/>
          <w:bCs/>
          <w:i/>
          <w:iCs/>
          <w:color w:val="000000"/>
          <w:sz w:val="28"/>
          <w:szCs w:val="28"/>
        </w:rPr>
        <w:t>.</w:t>
      </w:r>
      <w:r w:rsidRPr="001E7B5D">
        <w:rPr>
          <w:rFonts w:ascii="Times New Roman" w:eastAsia="Times New Roman" w:hAnsi="Times New Roman" w:cs="Times New Roman"/>
          <w:color w:val="000000"/>
          <w:sz w:val="28"/>
          <w:szCs w:val="28"/>
        </w:rPr>
        <w:t> К ценным бумагам относятся также депозитный и сберегательный сертификаты. Депозитный сертификат удостоверяет, что юридическое лицо сдало на хранение банку денежные средства. Банковский сертификат подтверждает размещение сберегательных вкладов граждан.</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Депозитный и сберегательный сертификаты представляют собой письменное свидетельство банка о депонировании денежных средств и о праве вкладчика на получение по истечении установленного срока суммы депозита по нему.</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Сертификаты могут быть именными и на предъявителя. Он не может быть использован в качестве расчётного или платёжного средства за приобретаемые товары или оказываемые услуги. Срок обращения депозитного сертификата не может превышать одного года, а сберегательного сертификата – трёх лет.</w:t>
      </w:r>
    </w:p>
    <w:p w:rsidR="001E7B5D" w:rsidRPr="001E7B5D" w:rsidRDefault="001E7B5D" w:rsidP="001E7B5D">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iCs/>
          <w:color w:val="000000"/>
          <w:sz w:val="28"/>
          <w:szCs w:val="28"/>
        </w:rPr>
        <w:t>Акция</w:t>
      </w:r>
      <w:r w:rsidRPr="00135A91">
        <w:rPr>
          <w:rFonts w:ascii="Times New Roman" w:eastAsia="Times New Roman" w:hAnsi="Times New Roman" w:cs="Times New Roman"/>
          <w:bCs/>
          <w:i/>
          <w:iCs/>
          <w:color w:val="000000"/>
          <w:sz w:val="28"/>
          <w:szCs w:val="28"/>
        </w:rPr>
        <w:t>.</w:t>
      </w:r>
      <w:r w:rsidRPr="001E7B5D">
        <w:rPr>
          <w:rFonts w:ascii="Times New Roman" w:eastAsia="Times New Roman" w:hAnsi="Times New Roman" w:cs="Times New Roman"/>
          <w:color w:val="000000"/>
          <w:sz w:val="28"/>
          <w:szCs w:val="28"/>
        </w:rPr>
        <w:t> Акция – ценная бумага, подтверждающая право акционера участвовать в управлении обществом, распределении прибыли общества, получении доли имущества общества, пропорционально его вкладу в уставный капитал в случае ликвидации акционерного общества.</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 Привилегированные (владелец акции получает дивиденд в размере фиксированного процента от номинальной стоимости акции вне зависимости от результатов деятельности акционерного общества, кроме того при ликвидации АО он пользуется преимущественным правом на получение ликвидационной квоты (части имущества АО, оставшейся после удовлетворения требований кредиторов и пропорциональной стоимости акций, принадлежащих акционеру).</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2. Обыкновенные — владелец обыкновенной акции имеет право на:</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участие в управлении делами АО (на собрании акционеров)</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получение дивидендов, величина которого зависит от работы АО</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ликвидационную квоту.</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Акционеру может выдаваться сертификат на суммарную номинальную стоимость принадлежащего ему пакета акций. Акции могут быть простыми и привилегированными, распространяемыми по открытой либо закрытой подписке. Привилегированные акции дают акционерам преимущественные права на получение фиксированных дивидендов независимо от наличия и размеров прибыли общества. В случае недостаточности прибыли проценты по привилегированным акциям выплачиваются за счёт резервного фонда.</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Дивиденды по обыкновенным акциям выплачиваются по итогам года за счёт прибыли акционерного общества после направления части прибыли общества на общие нужды общества в соответствии с решением общего собрания акционеров.</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И владелец акции, и владелец облигации могут передать принадлежащие им по ценной бумаге права другому лицу, однако распоряжение акцией, ее переход фиксируется в реестре акционеров (специальном документе, содержащем данные обо всех держателях акций данного акционерного общества).</w:t>
      </w:r>
    </w:p>
    <w:p w:rsidR="001E7B5D" w:rsidRPr="00135A91" w:rsidRDefault="001E7B5D" w:rsidP="00135A91">
      <w:pPr>
        <w:pStyle w:val="a5"/>
        <w:numPr>
          <w:ilvl w:val="0"/>
          <w:numId w:val="2"/>
        </w:numPr>
        <w:spacing w:before="100" w:beforeAutospacing="1" w:after="100" w:afterAutospacing="1" w:line="360" w:lineRule="auto"/>
        <w:jc w:val="center"/>
        <w:rPr>
          <w:rFonts w:ascii="Times New Roman" w:eastAsia="Times New Roman" w:hAnsi="Times New Roman" w:cs="Times New Roman"/>
          <w:color w:val="000000"/>
          <w:sz w:val="28"/>
          <w:szCs w:val="28"/>
        </w:rPr>
      </w:pPr>
      <w:r w:rsidRPr="00135A91">
        <w:rPr>
          <w:rFonts w:ascii="Times New Roman" w:eastAsia="Times New Roman" w:hAnsi="Times New Roman" w:cs="Times New Roman"/>
          <w:bCs/>
          <w:color w:val="000000"/>
          <w:sz w:val="28"/>
          <w:szCs w:val="28"/>
        </w:rPr>
        <w:t>Требования к ценной бумаге</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законом или в установленном им порядке.</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Отсутствие обязательных реквизитов ценной бумаги или несоответствие ценной бумаги установленной для нее форме влечет ее ничтожность.</w:t>
      </w:r>
    </w:p>
    <w:p w:rsidR="001E7B5D" w:rsidRPr="001E7B5D" w:rsidRDefault="001E7B5D" w:rsidP="001E7B5D">
      <w:pPr>
        <w:spacing w:after="0" w:line="360" w:lineRule="auto"/>
        <w:rPr>
          <w:rFonts w:ascii="Times New Roman" w:eastAsia="Times New Roman" w:hAnsi="Times New Roman" w:cs="Times New Roman"/>
          <w:sz w:val="28"/>
          <w:szCs w:val="28"/>
        </w:rPr>
      </w:pP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Субъекты прав, удостоверенных ценной бумагой</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 Права, удостоверенные ценной бумагой, могут принадлежать:</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 предъявителю ценной бумаги (ценная бумага на предъявителя);</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2) названному в ценной бумаге лицу (именная ценная бумага);</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3) названному в ценной бумаге лицу, которое может само осуществить эти права или назначить своим распоряжением (приказом) другое управомоченное лицо (ордерная ценная бумага).</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Законом может быть исключена возможность выпуска ценных бумаг определенного вида в качестве именных, либо в качестве ордерных, либо в качестве бумаг на предъявителя.</w:t>
      </w:r>
    </w:p>
    <w:p w:rsidR="001E7B5D" w:rsidRPr="00135A91" w:rsidRDefault="00135A91" w:rsidP="00135A91">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4. </w:t>
      </w:r>
      <w:r w:rsidR="001E7B5D" w:rsidRPr="00135A91">
        <w:rPr>
          <w:rFonts w:ascii="Times New Roman" w:eastAsia="Times New Roman" w:hAnsi="Times New Roman" w:cs="Times New Roman"/>
          <w:bCs/>
          <w:color w:val="000000"/>
          <w:sz w:val="28"/>
          <w:szCs w:val="28"/>
        </w:rPr>
        <w:t>Передача прав по ценной бумаге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 Для передачи другому лицу прав, удостоверенных ценной бумагой на предъявителя, достаточно вручения ценной бумаги этому лицу.</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2. Права, удостоверенные именной ценной бумагой, передаются в порядке, установленном для уступки требований (цессии). В соответствии со статьей 390 Гражданского Кодекса лицо, передающее право по ценной бумаге, несет ответственность за недействительность соответствующего требования, но не за его неисполнение.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3. Права по ордерной ценной бумаге передаются путем совершения на этой бумаге передаточной надписи - индоссамента. Индоссант несет ответственность не только за существование права, но и за его осуществление.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или ордерным (с указанием лица, которому или приказу которого должно быть произведено исполнение).</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w:t>
      </w:r>
    </w:p>
    <w:p w:rsidR="001E7B5D" w:rsidRPr="00135A91" w:rsidRDefault="00135A91" w:rsidP="00135A91">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5. </w:t>
      </w:r>
      <w:r w:rsidR="001E7B5D" w:rsidRPr="00135A91">
        <w:rPr>
          <w:rFonts w:ascii="Times New Roman" w:eastAsia="Times New Roman" w:hAnsi="Times New Roman" w:cs="Times New Roman"/>
          <w:bCs/>
          <w:color w:val="000000"/>
          <w:sz w:val="28"/>
          <w:szCs w:val="28"/>
        </w:rPr>
        <w:t>Исполнение по ценной бумаге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 Лицо, выдавшее ценную бумагу, и все лица, индоссировавшие ее, отвечают перед ее законным владельцем солидарно.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до него по ценной бумаге они приобретают право обратного требования (регресса) к остальным лицам, обязавшимся по ценной бумаге.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w:t>
      </w:r>
    </w:p>
    <w:p w:rsidR="00135A91" w:rsidRDefault="00135A91"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35A91" w:rsidRDefault="00135A91" w:rsidP="001E7B5D">
      <w:pPr>
        <w:spacing w:before="100" w:beforeAutospacing="1" w:after="100" w:afterAutospacing="1" w:line="360" w:lineRule="auto"/>
        <w:jc w:val="both"/>
        <w:rPr>
          <w:rFonts w:ascii="Times New Roman" w:eastAsia="Times New Roman" w:hAnsi="Times New Roman" w:cs="Times New Roman"/>
          <w:b/>
          <w:bCs/>
          <w:color w:val="000000"/>
          <w:sz w:val="28"/>
          <w:szCs w:val="28"/>
        </w:rPr>
      </w:pPr>
    </w:p>
    <w:p w:rsidR="001E7B5D" w:rsidRPr="00135A91" w:rsidRDefault="00135A91" w:rsidP="00135A91">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6. </w:t>
      </w:r>
      <w:r w:rsidR="001E7B5D" w:rsidRPr="00135A91">
        <w:rPr>
          <w:rFonts w:ascii="Times New Roman" w:eastAsia="Times New Roman" w:hAnsi="Times New Roman" w:cs="Times New Roman"/>
          <w:bCs/>
          <w:color w:val="000000"/>
          <w:sz w:val="28"/>
          <w:szCs w:val="28"/>
        </w:rPr>
        <w:t>Восстановление ценной бумаги</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Восстановление прав по утраченным ценным бумагам на предъявителя и ордерным ценным бумагам производится судом в порядке, предусмотренном процессуальным законодательством.</w:t>
      </w:r>
    </w:p>
    <w:p w:rsidR="001E7B5D" w:rsidRPr="00135A91" w:rsidRDefault="00135A91" w:rsidP="00135A91">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7. </w:t>
      </w:r>
      <w:r w:rsidR="001E7B5D" w:rsidRPr="00135A91">
        <w:rPr>
          <w:rFonts w:ascii="Times New Roman" w:eastAsia="Times New Roman" w:hAnsi="Times New Roman" w:cs="Times New Roman"/>
          <w:bCs/>
          <w:color w:val="000000"/>
          <w:sz w:val="28"/>
          <w:szCs w:val="28"/>
        </w:rPr>
        <w:t>Бездокументарные ценные бумаги</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 случаях, определенных законом или в установленном им порядке, лицо, получившее специальную лицензию, может производить фиксацию прав, закрепляемых именной или ордерной ценной бумагой, в том числе в бездокументарной форме (с помощью средств электронно-вычислительной техники и т.п.). К такой форме фиксации прав применяются правила, установленные для ценных бумаг, если иное не вытекает из особенностей фиксации.</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Лицо, осуществившее фиксацию права в бездокументарной форме, обязано по требованию обладателя права выдать ему документ, свидетельствующий о закрепленном праве.</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Права, удостоверяемые путем указанной фиксации, порядок официальной фиксации прав и правообладателей, порядок документального подтверждения записей и порядок совершения операций с бездокументарными ценными бумагами определяются законом или в установленном им порядке.</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Операции с бездокументарными ценными бумагами могут совершаться только при обращении к лицу, которое официально совершает записи прав. Передача, предоставление и ограничение прав должны официально фиксироваться этим лицом, которое несет ответственность за сохранность официальных записей, обеспечение их конфиденциальности, представление правильных данных о таких записях, совершение официальных записей о проведенных операциях.</w:t>
      </w:r>
    </w:p>
    <w:p w:rsidR="001E7B5D" w:rsidRPr="00135A91" w:rsidRDefault="00135A91" w:rsidP="00135A91">
      <w:pPr>
        <w:spacing w:before="100" w:beforeAutospacing="1" w:after="100" w:afterAutospacing="1"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8. </w:t>
      </w:r>
      <w:r w:rsidR="001E7B5D" w:rsidRPr="00135A91">
        <w:rPr>
          <w:rFonts w:ascii="Times New Roman" w:eastAsia="Times New Roman" w:hAnsi="Times New Roman" w:cs="Times New Roman"/>
          <w:bCs/>
          <w:color w:val="000000"/>
          <w:sz w:val="28"/>
          <w:szCs w:val="28"/>
        </w:rPr>
        <w:t>Источники правового регулирования вопросов эмиссии и обращения ценных бумаг</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Сегодня главными источниками, определяющими основные принципы эмиссии и обращения ценных бумаг, являются:</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iCs/>
          <w:color w:val="000000"/>
          <w:sz w:val="28"/>
          <w:szCs w:val="28"/>
        </w:rPr>
        <w:t>Конституция</w:t>
      </w:r>
      <w:r w:rsidRPr="001E7B5D">
        <w:rPr>
          <w:rFonts w:ascii="Times New Roman" w:eastAsia="Times New Roman" w:hAnsi="Times New Roman" w:cs="Times New Roman"/>
          <w:i/>
          <w:iCs/>
          <w:color w:val="000000"/>
          <w:sz w:val="28"/>
          <w:szCs w:val="28"/>
        </w:rPr>
        <w:t xml:space="preserve"> РФ. </w:t>
      </w:r>
      <w:r w:rsidRPr="001E7B5D">
        <w:rPr>
          <w:rFonts w:ascii="Times New Roman" w:eastAsia="Times New Roman" w:hAnsi="Times New Roman" w:cs="Times New Roman"/>
          <w:color w:val="000000"/>
          <w:sz w:val="28"/>
          <w:szCs w:val="28"/>
        </w:rPr>
        <w:t>Конституция РФ содержит статью, определяющую принципы построения национальной денежной системы. В данной статье содержатся также положения, относящиеся к государственным заимствованиям.</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iCs/>
          <w:color w:val="000000"/>
          <w:sz w:val="28"/>
          <w:szCs w:val="28"/>
        </w:rPr>
        <w:t>Гражданский кодекс</w:t>
      </w:r>
      <w:r w:rsidRPr="001E7B5D">
        <w:rPr>
          <w:rFonts w:ascii="Times New Roman" w:eastAsia="Times New Roman" w:hAnsi="Times New Roman" w:cs="Times New Roman"/>
          <w:i/>
          <w:iCs/>
          <w:color w:val="000000"/>
          <w:sz w:val="28"/>
          <w:szCs w:val="28"/>
        </w:rPr>
        <w:t xml:space="preserve"> РФ.</w:t>
      </w:r>
      <w:r w:rsidRPr="001E7B5D">
        <w:rPr>
          <w:rFonts w:ascii="Times New Roman" w:eastAsia="Times New Roman" w:hAnsi="Times New Roman" w:cs="Times New Roman"/>
          <w:color w:val="000000"/>
          <w:sz w:val="28"/>
          <w:szCs w:val="28"/>
        </w:rPr>
        <w:t> ГК РФ определяет формы и принципы участия государства в имущественных правоотношениях; содержит основные понятия и принципы обращения ценных бумаг; регулирует вопросы, связанные с отношениями из договора займа. Все положения ГК РФ находят практическое применение при регулировании вопросов обращения ценных бумаг, создавая своего рода “правовую среду” для обращения государственных ценных бумаг.</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iCs/>
          <w:color w:val="000000"/>
          <w:sz w:val="28"/>
          <w:szCs w:val="28"/>
        </w:rPr>
        <w:t>Федеральный Закон РФ “О рынке ценных бумаг”.</w:t>
      </w:r>
      <w:r w:rsidRPr="001E7B5D">
        <w:rPr>
          <w:rFonts w:ascii="Times New Roman" w:eastAsia="Times New Roman" w:hAnsi="Times New Roman" w:cs="Times New Roman"/>
          <w:i/>
          <w:iCs/>
          <w:color w:val="000000"/>
          <w:sz w:val="28"/>
          <w:szCs w:val="28"/>
        </w:rPr>
        <w:t> </w:t>
      </w:r>
      <w:r w:rsidRPr="001E7B5D">
        <w:rPr>
          <w:rFonts w:ascii="Times New Roman" w:eastAsia="Times New Roman" w:hAnsi="Times New Roman" w:cs="Times New Roman"/>
          <w:color w:val="000000"/>
          <w:sz w:val="28"/>
          <w:szCs w:val="28"/>
        </w:rPr>
        <w:t>Положения этого закона имеют большое значение для функционирования фондового рынка РФ в целом и рынка государственных ценных бумаг, в частности, который является одной из составных частей фондового рынка. Однако в нем не содержится положений, непосредственно относящихся к государственным ценным бумагам.</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Закон РФ “О рынке ценных бумаг” в основном объединил в своем содержании ранее действующую инструктивную базу, содержащуюся в ведомственных актах. Его структура не отвечает мировым стандартам регулирования рынка ценных бумаг, поскольку отличается отрывочным, ограничительным регулированием важнейших институтов рынка ценных бумаг.</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iCs/>
          <w:color w:val="000000"/>
          <w:sz w:val="28"/>
          <w:szCs w:val="28"/>
        </w:rPr>
        <w:t>Иные нормативные акты</w:t>
      </w:r>
      <w:r w:rsidRPr="001E7B5D">
        <w:rPr>
          <w:rFonts w:ascii="Times New Roman" w:eastAsia="Times New Roman" w:hAnsi="Times New Roman" w:cs="Times New Roman"/>
          <w:i/>
          <w:iCs/>
          <w:color w:val="000000"/>
          <w:sz w:val="28"/>
          <w:szCs w:val="28"/>
        </w:rPr>
        <w:t>.</w:t>
      </w:r>
      <w:r w:rsidRPr="001E7B5D">
        <w:rPr>
          <w:rFonts w:ascii="Times New Roman" w:eastAsia="Times New Roman" w:hAnsi="Times New Roman" w:cs="Times New Roman"/>
          <w:color w:val="000000"/>
          <w:sz w:val="28"/>
          <w:szCs w:val="28"/>
        </w:rPr>
        <w:t> Как это следует из краткого анализа источников регулирования конкретных видов ценных бумаг, большое значение приобретают нормативные акты, определяющие порядок эмиссии и режим отдельных видов ценных бумаг.</w:t>
      </w: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Default="001E7B5D" w:rsidP="001E7B5D">
      <w:pPr>
        <w:spacing w:before="100" w:beforeAutospacing="1" w:after="100" w:afterAutospacing="1" w:line="360" w:lineRule="auto"/>
        <w:outlineLvl w:val="0"/>
        <w:rPr>
          <w:rFonts w:ascii="Times New Roman" w:eastAsia="Times New Roman" w:hAnsi="Times New Roman" w:cs="Times New Roman"/>
          <w:b/>
          <w:bCs/>
          <w:color w:val="000000"/>
          <w:kern w:val="36"/>
          <w:sz w:val="28"/>
          <w:szCs w:val="28"/>
        </w:rPr>
      </w:pPr>
    </w:p>
    <w:p w:rsidR="001E7B5D" w:rsidRPr="00135A91" w:rsidRDefault="001E7B5D" w:rsidP="001E7B5D">
      <w:pPr>
        <w:spacing w:before="100" w:beforeAutospacing="1" w:after="100" w:afterAutospacing="1" w:line="360" w:lineRule="auto"/>
        <w:outlineLvl w:val="0"/>
        <w:rPr>
          <w:rFonts w:ascii="Times New Roman" w:eastAsia="Times New Roman" w:hAnsi="Times New Roman" w:cs="Times New Roman"/>
          <w:bCs/>
          <w:color w:val="000000"/>
          <w:kern w:val="36"/>
          <w:sz w:val="28"/>
          <w:szCs w:val="28"/>
        </w:rPr>
      </w:pPr>
      <w:r w:rsidRPr="00135A91">
        <w:rPr>
          <w:rFonts w:ascii="Times New Roman" w:eastAsia="Times New Roman" w:hAnsi="Times New Roman" w:cs="Times New Roman"/>
          <w:bCs/>
          <w:color w:val="000000"/>
          <w:kern w:val="36"/>
          <w:sz w:val="28"/>
          <w:szCs w:val="28"/>
        </w:rPr>
        <w:t>З</w:t>
      </w:r>
      <w:r w:rsidR="00731DF6">
        <w:rPr>
          <w:rFonts w:ascii="Times New Roman" w:eastAsia="Times New Roman" w:hAnsi="Times New Roman" w:cs="Times New Roman"/>
          <w:bCs/>
          <w:color w:val="000000"/>
          <w:kern w:val="36"/>
          <w:sz w:val="28"/>
          <w:szCs w:val="28"/>
        </w:rPr>
        <w:t>аключение</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 заключение можно сделать следующие выводы.</w:t>
      </w:r>
    </w:p>
    <w:p w:rsidR="001E7B5D" w:rsidRPr="001E7B5D" w:rsidRDefault="001E7B5D" w:rsidP="00135A91">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Главная особенность денег как объекта гражданских прав заключается в том, что они, будучи всеобщим эквивалентом, могут заменить собой почти любой другой объект имущественных отношений, носящих возмездный характер.</w:t>
      </w:r>
    </w:p>
    <w:p w:rsidR="001E7B5D" w:rsidRPr="001E7B5D" w:rsidRDefault="001E7B5D" w:rsidP="00135A91">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Специфический объект гражданских прав – безналичные деньги. Значение ценной бумаги проявляется в подтверждении, закреплении и переносе возможности распоряжения предметами и правами. Признание ценной бумаги объектом права собственности (либо иного права - например, залога) по существу означает признание права собственности (либо иного права) на предмет, обозначенный ценной бумагой.</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По эмитенту выделяют государственные и негосударственные ценные бумаги.</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По выполняемым функциям все ценные бумаги также могут быть разбиты на несколько групп:</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а) расчетные (например, чеки);</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б) кредитные (например, векселя, облигации);</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в) товарораспорядительные (например, складские свидетельства, коносаменты);</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г) инвестиционные (акции, облигации).</w:t>
      </w:r>
    </w:p>
    <w:p w:rsidR="001E7B5D" w:rsidRPr="001E7B5D" w:rsidRDefault="001E7B5D" w:rsidP="001E7B5D">
      <w:pPr>
        <w:spacing w:after="0" w:line="360" w:lineRule="auto"/>
        <w:rPr>
          <w:rFonts w:ascii="Times New Roman" w:eastAsia="Times New Roman" w:hAnsi="Times New Roman" w:cs="Times New Roman"/>
          <w:sz w:val="28"/>
          <w:szCs w:val="28"/>
        </w:rPr>
      </w:pP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Представляется, несмотря на исключение правила об отнесении векселях ценным бумагам из текста Гражданского кодекса, вексель был и остается разновидностью ценных бумаг.</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Облигация является долговой ценной бумагой наряду с векселем и чеком.</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Коносамент является ценной бумагой, которая выражает право собственности на конкретный указанный в ней товар.</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Акцией признается ценная бумага, удостоверяющая право ее держателя (акционера) на получение части чистого дохода акционерного общества в виде дивидендов, на участие в управлении делами акционерного общества и на часть имущества, оставшегося после его ликвидации.</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Таковы общие правила, определяющие правовой режим ценных бумаг и направления желательного уточнения такого режима, целесообразные для повышения эффективности применения ценных бумаг.</w:t>
      </w:r>
    </w:p>
    <w:p w:rsidR="001E7B5D" w:rsidRPr="001E7B5D" w:rsidRDefault="001E7B5D" w:rsidP="007F1535">
      <w:pPr>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Ценные бумаги - неизбежный атрибут всякого нормативного товарного оборота. Будучи товаром, они вместе с тем способны служить как средством кредита, так и средством платежа, эффективно заменяя в этом качестве наличные деньги. Не случайно ранее в имущественных отношениях использовались некоторые виды ценных бумаг (облигации и лотерейные билеты в отношениях с участием граждан, чеки для расчетов между организациями, векселя во внешнеторговом обороте). Переход к рыночной организации экономики и попытки формирования рынка ценных бумаг потребовали возрождения и использования всего многообразия ценных бумаг. В свою очередь, появилась настоятельная потребность в четком правовом оформлении ценных бумаг и их оборота, при отсутствии которого их использование просто невозможно.</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p>
    <w:p w:rsidR="001E7B5D" w:rsidRPr="00135A91" w:rsidRDefault="00731DF6"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Используемая литература</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 Гражданский Кодекс Российской Федерации</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2. Закон Российской Федерации «О рынке ценных бумаг»</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3. Агарков М. М. Учение о ценных бумагах. М.: Финстатиформ, 1993</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4. Белов В. А. Ценные бумаги в российском гражданском праве. М.: ЮрИнфоР, 1996</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5. Конституция Российской Федерации;</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6. Гражданское право России. Курс лекций. Под ред. О.Н.Садикова. -М.:Юридическая литература, 1996.</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7. Степанов Д. Современное российское</w:t>
      </w:r>
      <w:r w:rsidR="00135A91">
        <w:rPr>
          <w:rFonts w:ascii="Times New Roman" w:eastAsia="Times New Roman" w:hAnsi="Times New Roman" w:cs="Times New Roman"/>
          <w:color w:val="000000"/>
          <w:sz w:val="28"/>
          <w:szCs w:val="28"/>
        </w:rPr>
        <w:t xml:space="preserve"> правопонимание ценных бумаг </w:t>
      </w:r>
      <w:r w:rsidRPr="001E7B5D">
        <w:rPr>
          <w:rFonts w:ascii="Times New Roman" w:eastAsia="Times New Roman" w:hAnsi="Times New Roman" w:cs="Times New Roman"/>
          <w:color w:val="000000"/>
          <w:sz w:val="28"/>
          <w:szCs w:val="28"/>
        </w:rPr>
        <w:t>Журнал российского права. 2000. №7. С.128.</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8. Шершневич Г. Курс гражданского права. Тула, 2001. С.228.</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9. Комментарий</w:t>
      </w:r>
      <w:r w:rsidR="00135A91">
        <w:rPr>
          <w:rFonts w:ascii="Times New Roman" w:eastAsia="Times New Roman" w:hAnsi="Times New Roman" w:cs="Times New Roman"/>
          <w:color w:val="000000"/>
          <w:sz w:val="28"/>
          <w:szCs w:val="28"/>
        </w:rPr>
        <w:t xml:space="preserve"> к Гражданскому кодексу РФ ч.1 </w:t>
      </w:r>
      <w:r w:rsidRPr="001E7B5D">
        <w:rPr>
          <w:rFonts w:ascii="Times New Roman" w:eastAsia="Times New Roman" w:hAnsi="Times New Roman" w:cs="Times New Roman"/>
          <w:color w:val="000000"/>
          <w:sz w:val="28"/>
          <w:szCs w:val="28"/>
        </w:rPr>
        <w:t xml:space="preserve"> Отв. ред. О. Н. Садиков. М., 1999. С.179.</w:t>
      </w:r>
    </w:p>
    <w:p w:rsidR="001E7B5D" w:rsidRPr="001E7B5D" w:rsidRDefault="001E7B5D" w:rsidP="001E7B5D">
      <w:pPr>
        <w:spacing w:before="100" w:beforeAutospacing="1" w:after="100" w:afterAutospacing="1" w:line="360" w:lineRule="auto"/>
        <w:jc w:val="both"/>
        <w:rPr>
          <w:rFonts w:ascii="Times New Roman" w:eastAsia="Times New Roman" w:hAnsi="Times New Roman" w:cs="Times New Roman"/>
          <w:color w:val="000000"/>
          <w:sz w:val="28"/>
          <w:szCs w:val="28"/>
        </w:rPr>
      </w:pPr>
      <w:r w:rsidRPr="001E7B5D">
        <w:rPr>
          <w:rFonts w:ascii="Times New Roman" w:eastAsia="Times New Roman" w:hAnsi="Times New Roman" w:cs="Times New Roman"/>
          <w:color w:val="000000"/>
          <w:sz w:val="28"/>
          <w:szCs w:val="28"/>
        </w:rPr>
        <w:t>10. Шершневич Г. Ф. Курс гражданского права. М., 2001. С. 128.</w:t>
      </w:r>
    </w:p>
    <w:p w:rsidR="00266A9C" w:rsidRPr="001E7B5D" w:rsidRDefault="00266A9C" w:rsidP="001E7B5D">
      <w:pPr>
        <w:spacing w:line="360" w:lineRule="auto"/>
        <w:rPr>
          <w:rFonts w:ascii="Times New Roman" w:hAnsi="Times New Roman" w:cs="Times New Roman"/>
          <w:sz w:val="28"/>
          <w:szCs w:val="28"/>
        </w:rPr>
      </w:pPr>
    </w:p>
    <w:sectPr w:rsidR="00266A9C" w:rsidRPr="001E7B5D" w:rsidSect="00266A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7B" w:rsidRDefault="0050507B" w:rsidP="00731DF6">
      <w:pPr>
        <w:spacing w:after="0" w:line="240" w:lineRule="auto"/>
      </w:pPr>
      <w:r>
        <w:separator/>
      </w:r>
    </w:p>
  </w:endnote>
  <w:endnote w:type="continuationSeparator" w:id="0">
    <w:p w:rsidR="0050507B" w:rsidRDefault="0050507B" w:rsidP="0073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7B" w:rsidRDefault="0050507B" w:rsidP="00731DF6">
      <w:pPr>
        <w:spacing w:after="0" w:line="240" w:lineRule="auto"/>
      </w:pPr>
      <w:r>
        <w:separator/>
      </w:r>
    </w:p>
  </w:footnote>
  <w:footnote w:type="continuationSeparator" w:id="0">
    <w:p w:rsidR="0050507B" w:rsidRDefault="0050507B" w:rsidP="00731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55391"/>
      <w:docPartObj>
        <w:docPartGallery w:val="Page Numbers (Top of Page)"/>
        <w:docPartUnique/>
      </w:docPartObj>
    </w:sdtPr>
    <w:sdtEndPr/>
    <w:sdtContent>
      <w:p w:rsidR="00731DF6" w:rsidRDefault="0050507B">
        <w:pPr>
          <w:pStyle w:val="a6"/>
          <w:jc w:val="center"/>
        </w:pPr>
        <w:r>
          <w:fldChar w:fldCharType="begin"/>
        </w:r>
        <w:r>
          <w:instrText xml:space="preserve"> PAGE   \* MERGEFORMAT </w:instrText>
        </w:r>
        <w:r>
          <w:fldChar w:fldCharType="separate"/>
        </w:r>
        <w:r w:rsidR="00E963F6">
          <w:rPr>
            <w:noProof/>
          </w:rPr>
          <w:t>2</w:t>
        </w:r>
        <w:r>
          <w:rPr>
            <w:noProof/>
          </w:rPr>
          <w:fldChar w:fldCharType="end"/>
        </w:r>
      </w:p>
    </w:sdtContent>
  </w:sdt>
  <w:p w:rsidR="00731DF6" w:rsidRDefault="00731DF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74749"/>
    <w:multiLevelType w:val="hybridMultilevel"/>
    <w:tmpl w:val="50A423D2"/>
    <w:lvl w:ilvl="0" w:tplc="0DD4F2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FD17C4E"/>
    <w:multiLevelType w:val="hybridMultilevel"/>
    <w:tmpl w:val="5CC44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B5D"/>
    <w:rsid w:val="00135A91"/>
    <w:rsid w:val="001507C6"/>
    <w:rsid w:val="001E7B5D"/>
    <w:rsid w:val="00266A9C"/>
    <w:rsid w:val="003661D2"/>
    <w:rsid w:val="004F7670"/>
    <w:rsid w:val="0050507B"/>
    <w:rsid w:val="00731DF6"/>
    <w:rsid w:val="007F1535"/>
    <w:rsid w:val="008946F1"/>
    <w:rsid w:val="008B4206"/>
    <w:rsid w:val="00E963F6"/>
    <w:rsid w:val="00FD6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B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B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7B5D"/>
  </w:style>
  <w:style w:type="character" w:customStyle="1" w:styleId="found">
    <w:name w:val="found"/>
    <w:basedOn w:val="a0"/>
    <w:rsid w:val="001E7B5D"/>
  </w:style>
  <w:style w:type="paragraph" w:styleId="z-">
    <w:name w:val="HTML Top of Form"/>
    <w:basedOn w:val="a"/>
    <w:next w:val="a"/>
    <w:link w:val="z-0"/>
    <w:hidden/>
    <w:uiPriority w:val="99"/>
    <w:semiHidden/>
    <w:unhideWhenUsed/>
    <w:rsid w:val="001E7B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E7B5D"/>
    <w:rPr>
      <w:rFonts w:ascii="Arial" w:eastAsia="Times New Roman" w:hAnsi="Arial" w:cs="Arial"/>
      <w:vanish/>
      <w:sz w:val="16"/>
      <w:szCs w:val="16"/>
      <w:lang w:eastAsia="ru-RU"/>
    </w:rPr>
  </w:style>
  <w:style w:type="character" w:styleId="a4">
    <w:name w:val="Hyperlink"/>
    <w:basedOn w:val="a0"/>
    <w:uiPriority w:val="99"/>
    <w:semiHidden/>
    <w:unhideWhenUsed/>
    <w:rsid w:val="001E7B5D"/>
    <w:rPr>
      <w:color w:val="0000FF"/>
      <w:u w:val="single"/>
    </w:rPr>
  </w:style>
  <w:style w:type="paragraph" w:styleId="z-1">
    <w:name w:val="HTML Bottom of Form"/>
    <w:basedOn w:val="a"/>
    <w:next w:val="a"/>
    <w:link w:val="z-2"/>
    <w:hidden/>
    <w:uiPriority w:val="99"/>
    <w:semiHidden/>
    <w:unhideWhenUsed/>
    <w:rsid w:val="001E7B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E7B5D"/>
    <w:rPr>
      <w:rFonts w:ascii="Arial" w:eastAsia="Times New Roman" w:hAnsi="Arial" w:cs="Arial"/>
      <w:vanish/>
      <w:sz w:val="16"/>
      <w:szCs w:val="16"/>
      <w:lang w:eastAsia="ru-RU"/>
    </w:rPr>
  </w:style>
  <w:style w:type="paragraph" w:styleId="a5">
    <w:name w:val="List Paragraph"/>
    <w:basedOn w:val="a"/>
    <w:uiPriority w:val="34"/>
    <w:qFormat/>
    <w:rsid w:val="00135A91"/>
    <w:pPr>
      <w:ind w:left="720"/>
      <w:contextualSpacing/>
    </w:pPr>
  </w:style>
  <w:style w:type="paragraph" w:styleId="2">
    <w:name w:val="Body Text Indent 2"/>
    <w:basedOn w:val="a"/>
    <w:link w:val="20"/>
    <w:uiPriority w:val="99"/>
    <w:unhideWhenUsed/>
    <w:rsid w:val="00135A91"/>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135A91"/>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31D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1DF6"/>
  </w:style>
  <w:style w:type="paragraph" w:styleId="a8">
    <w:name w:val="footer"/>
    <w:basedOn w:val="a"/>
    <w:link w:val="a9"/>
    <w:uiPriority w:val="99"/>
    <w:semiHidden/>
    <w:unhideWhenUsed/>
    <w:rsid w:val="00731DF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31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7B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B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E7B5D"/>
  </w:style>
  <w:style w:type="character" w:customStyle="1" w:styleId="found">
    <w:name w:val="found"/>
    <w:basedOn w:val="a0"/>
    <w:rsid w:val="001E7B5D"/>
  </w:style>
  <w:style w:type="paragraph" w:styleId="z-">
    <w:name w:val="HTML Top of Form"/>
    <w:basedOn w:val="a"/>
    <w:next w:val="a"/>
    <w:link w:val="z-0"/>
    <w:hidden/>
    <w:uiPriority w:val="99"/>
    <w:semiHidden/>
    <w:unhideWhenUsed/>
    <w:rsid w:val="001E7B5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E7B5D"/>
    <w:rPr>
      <w:rFonts w:ascii="Arial" w:eastAsia="Times New Roman" w:hAnsi="Arial" w:cs="Arial"/>
      <w:vanish/>
      <w:sz w:val="16"/>
      <w:szCs w:val="16"/>
      <w:lang w:eastAsia="ru-RU"/>
    </w:rPr>
  </w:style>
  <w:style w:type="character" w:styleId="a4">
    <w:name w:val="Hyperlink"/>
    <w:basedOn w:val="a0"/>
    <w:uiPriority w:val="99"/>
    <w:semiHidden/>
    <w:unhideWhenUsed/>
    <w:rsid w:val="001E7B5D"/>
    <w:rPr>
      <w:color w:val="0000FF"/>
      <w:u w:val="single"/>
    </w:rPr>
  </w:style>
  <w:style w:type="paragraph" w:styleId="z-1">
    <w:name w:val="HTML Bottom of Form"/>
    <w:basedOn w:val="a"/>
    <w:next w:val="a"/>
    <w:link w:val="z-2"/>
    <w:hidden/>
    <w:uiPriority w:val="99"/>
    <w:semiHidden/>
    <w:unhideWhenUsed/>
    <w:rsid w:val="001E7B5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E7B5D"/>
    <w:rPr>
      <w:rFonts w:ascii="Arial" w:eastAsia="Times New Roman" w:hAnsi="Arial" w:cs="Arial"/>
      <w:vanish/>
      <w:sz w:val="16"/>
      <w:szCs w:val="16"/>
      <w:lang w:eastAsia="ru-RU"/>
    </w:rPr>
  </w:style>
  <w:style w:type="paragraph" w:styleId="a5">
    <w:name w:val="List Paragraph"/>
    <w:basedOn w:val="a"/>
    <w:uiPriority w:val="34"/>
    <w:qFormat/>
    <w:rsid w:val="00135A91"/>
    <w:pPr>
      <w:ind w:left="720"/>
      <w:contextualSpacing/>
    </w:pPr>
  </w:style>
  <w:style w:type="paragraph" w:styleId="2">
    <w:name w:val="Body Text Indent 2"/>
    <w:basedOn w:val="a"/>
    <w:link w:val="20"/>
    <w:uiPriority w:val="99"/>
    <w:unhideWhenUsed/>
    <w:rsid w:val="00135A91"/>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135A91"/>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31D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31DF6"/>
  </w:style>
  <w:style w:type="paragraph" w:styleId="a8">
    <w:name w:val="footer"/>
    <w:basedOn w:val="a"/>
    <w:link w:val="a9"/>
    <w:uiPriority w:val="99"/>
    <w:semiHidden/>
    <w:unhideWhenUsed/>
    <w:rsid w:val="00731DF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31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7257">
      <w:bodyDiv w:val="1"/>
      <w:marLeft w:val="0"/>
      <w:marRight w:val="0"/>
      <w:marTop w:val="0"/>
      <w:marBottom w:val="0"/>
      <w:divBdr>
        <w:top w:val="none" w:sz="0" w:space="0" w:color="auto"/>
        <w:left w:val="none" w:sz="0" w:space="0" w:color="auto"/>
        <w:bottom w:val="none" w:sz="0" w:space="0" w:color="auto"/>
        <w:right w:val="none" w:sz="0" w:space="0" w:color="auto"/>
      </w:divBdr>
    </w:div>
    <w:div w:id="98404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859D-C6AD-4B57-883C-951CF51A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3469</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Чулдум-оол</dc:creator>
  <cp:lastModifiedBy>Dmitrij V Stolpovskih</cp:lastModifiedBy>
  <cp:revision>2</cp:revision>
  <dcterms:created xsi:type="dcterms:W3CDTF">2015-04-30T03:09:00Z</dcterms:created>
  <dcterms:modified xsi:type="dcterms:W3CDTF">2015-04-30T03:09:00Z</dcterms:modified>
</cp:coreProperties>
</file>