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89" w:rsidRDefault="003C552F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Федеральное агентство по образованию Российской Федерации</w:t>
      </w:r>
    </w:p>
    <w:p w:rsidR="00651189" w:rsidRDefault="0065118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3C552F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651189" w:rsidRDefault="003C552F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651189" w:rsidRDefault="003C552F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«Уральский государственный университет имени А.М. Горького»</w:t>
      </w:r>
    </w:p>
    <w:p w:rsidR="00651189" w:rsidRDefault="00651189">
      <w:pPr>
        <w:pStyle w:val="normal"/>
        <w:tabs>
          <w:tab w:val="left" w:pos="3315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3C552F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юриспруденции</w:t>
      </w:r>
    </w:p>
    <w:p w:rsidR="00651189" w:rsidRDefault="0065118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189" w:rsidRDefault="0065118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189" w:rsidRDefault="0065118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565" w:rsidRPr="00513565" w:rsidRDefault="00513565">
      <w:pPr>
        <w:pStyle w:val="1"/>
        <w:spacing w:before="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highlight w:val="white"/>
        </w:rPr>
      </w:pPr>
      <w:r w:rsidRPr="00513565">
        <w:rPr>
          <w:rFonts w:ascii="Times New Roman" w:eastAsia="Times New Roman" w:hAnsi="Times New Roman" w:cs="Times New Roman"/>
          <w:color w:val="000000"/>
          <w:sz w:val="48"/>
          <w:szCs w:val="48"/>
          <w:highlight w:val="white"/>
        </w:rPr>
        <w:t xml:space="preserve">Реферат </w:t>
      </w:r>
    </w:p>
    <w:p w:rsidR="00651189" w:rsidRDefault="003C552F">
      <w:pPr>
        <w:pStyle w:val="1"/>
        <w:spacing w:before="0" w:after="240" w:line="360" w:lineRule="auto"/>
        <w:jc w:val="center"/>
        <w:rPr>
          <w:b w:val="0"/>
          <w:sz w:val="28"/>
          <w:szCs w:val="28"/>
        </w:rPr>
      </w:pPr>
      <w:r w:rsidRPr="00513565">
        <w:rPr>
          <w:rFonts w:ascii="Times New Roman" w:eastAsia="Times New Roman" w:hAnsi="Times New Roman" w:cs="Times New Roman"/>
          <w:b w:val="0"/>
          <w:color w:val="000000"/>
          <w:sz w:val="48"/>
          <w:szCs w:val="48"/>
          <w:highlight w:val="white"/>
        </w:rPr>
        <w:t xml:space="preserve"> </w:t>
      </w:r>
      <w:bookmarkStart w:id="1" w:name="_GoBack"/>
      <w:r w:rsidRPr="00513565">
        <w:rPr>
          <w:b w:val="0"/>
          <w:sz w:val="48"/>
          <w:szCs w:val="48"/>
        </w:rPr>
        <w:t>Защита прав ребенка</w:t>
      </w:r>
      <w:bookmarkEnd w:id="1"/>
      <w:r w:rsidR="00513565">
        <w:rPr>
          <w:b w:val="0"/>
          <w:sz w:val="28"/>
          <w:szCs w:val="28"/>
        </w:rPr>
        <w:t xml:space="preserve"> </w:t>
      </w: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651189" w:rsidRDefault="0065118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line="36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3C552F">
      <w:pPr>
        <w:pStyle w:val="normal"/>
        <w:spacing w:line="36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</w:t>
      </w:r>
    </w:p>
    <w:p w:rsidR="00513565" w:rsidRDefault="00513565">
      <w:pPr>
        <w:pStyle w:val="normal"/>
        <w:spacing w:line="36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Проверил</w:t>
      </w:r>
    </w:p>
    <w:p w:rsidR="00651189" w:rsidRDefault="0065118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0F5006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3C5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189" w:rsidRDefault="00513565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651189" w:rsidRDefault="003C552F">
      <w:pPr>
        <w:pStyle w:val="1"/>
        <w:spacing w:before="0" w:after="240" w:line="360" w:lineRule="auto"/>
        <w:jc w:val="center"/>
        <w:rPr>
          <w:rFonts w:ascii="Times New Roman" w:eastAsia="Times New Roman" w:hAnsi="Times New Roman" w:cs="Times New Roman"/>
        </w:rPr>
      </w:pPr>
      <w:r>
        <w:lastRenderedPageBreak/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p w:rsidR="00651189" w:rsidRDefault="006511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fldChar w:fldCharType="begin"/>
      </w:r>
      <w:r w:rsidR="003C552F">
        <w:instrText xml:space="preserve"> TOC \h \u \z </w:instrText>
      </w:r>
      <w:r>
        <w:fldChar w:fldCharType="separate"/>
      </w:r>
      <w:hyperlink w:anchor="_30j0zll"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Введение</w:t>
        </w:r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3</w:t>
        </w:r>
      </w:hyperlink>
    </w:p>
    <w:p w:rsidR="00651189" w:rsidRDefault="006511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1fob9te"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 Историко–правовой аспект защиты прав детей</w:t>
        </w:r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4</w:t>
        </w:r>
      </w:hyperlink>
    </w:p>
    <w:p w:rsidR="00651189" w:rsidRDefault="006511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2et92p0"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 Государственно-правовая политика Российской Федерации в сфере защиты прав детей</w:t>
        </w:r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11</w:t>
        </w:r>
      </w:hyperlink>
    </w:p>
    <w:p w:rsidR="00651189" w:rsidRDefault="006511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tyjcwt"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Заключение</w:t>
        </w:r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14</w:t>
        </w:r>
      </w:hyperlink>
    </w:p>
    <w:p w:rsidR="00651189" w:rsidRDefault="006511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3dy6vkm"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Список использованной литературы</w:t>
        </w:r>
        <w:r w:rsidR="003C55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15</w:t>
        </w:r>
      </w:hyperlink>
    </w:p>
    <w:p w:rsidR="00651189" w:rsidRDefault="00651189">
      <w:pPr>
        <w:pStyle w:val="normal"/>
        <w:spacing w:after="0" w:line="360" w:lineRule="auto"/>
        <w:jc w:val="both"/>
      </w:pPr>
      <w:r>
        <w:fldChar w:fldCharType="end"/>
      </w:r>
    </w:p>
    <w:p w:rsidR="00651189" w:rsidRDefault="00651189">
      <w:pPr>
        <w:pStyle w:val="1"/>
        <w:spacing w:before="0" w:after="240" w:line="360" w:lineRule="auto"/>
        <w:jc w:val="center"/>
      </w:pPr>
    </w:p>
    <w:p w:rsidR="00651189" w:rsidRDefault="003C552F">
      <w:pPr>
        <w:pStyle w:val="1"/>
        <w:spacing w:before="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защиты прав ребенка сегодня прочно вошло в нашу жизнь. Настолько прочно, что мы порой забываем, что конкретно понимается под этой защитой. В современных условиях отношения к ребенку как самостоятельному субъекту права, от воспитания, образования, социализации которого зависит будущее любого государства, следовательно, и России, понятие «защита» применяется в его широком значении, включая закрепление необходимых для подрастающего поколения прав и свобод, механизм их реализации и, разумеется, конкретную защиту в случае нарушения прав ребенка.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триединство (законодательное закрепление, механизм реализации и восстановление нарушенных прав ребенка) и составляет основу государственной политики в отношении несовершеннолетних.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защиты прав ребенка имеет поистине многовековую историю. Вопросы реализации и защиты законных интересов и прав ребенка являются одними из самых сложных и трудноразрешимых в юридической практике. В свою очередь, особенность и специфика правового положения несовершеннолетних общепризнаны, что, собственно, и порождает необходимость повышенного внимания к одной из наименее защищенных категорий населения.</w:t>
      </w: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3C552F">
      <w:pPr>
        <w:pStyle w:val="1"/>
        <w:spacing w:before="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Историко–правовой аспект защиты прав детей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развития взаимоотношений участников семейных отношений всегда имела свои особенности, связанные с модификацией ее участников. Под модификацией подразумевается процесс изменения социального и правового статуса каждого из участников семейных правоотношений.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Особенность исторического развития положения детей в России зависела от процесса изменения отношения общества к социальному и правовому статусу детей, то есть той роли, которая отводилась детям.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Основополагающим началом признания статуса детей в обществе и государстве явилась оценка значимости ребенка в обществе, что предопределяло отношение родителей к воспитанию своего ребенка.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Ллойд Демоз, автор теории истории детства подразделял всю историю детства на 6 этапов: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Детоубийство (с древности до IV в. н. э), когда родители по тем или иным причинам отказывались кормить и воспитывать своих детей;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Этап «оставления» (IV – XIII века н. э.), когда уровень отказа родителей от детей немного спал, но, в целом процесс детоубийства продолжался, и родители отказываясь от детей сдавали их в кормилицы и монастыри, а также отправляли в другие семьи;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Амбивалентный этап (XIV – XVII вв.), период, когда забота о детях признается обязанностью государства, и родители из «детского материала» делают человека для общества, который будет подчиняться ему и будет для него орудием труда. Если же из «детского материала» родители не могут сделать «раба» общества и государства, то они отказываются от него, бьют, и всяческим образом унижают его человеческое достоинство;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Этап «навязывания» (XVIII в.), период, схожий с амбивалентным этапом, однако, в этот период методы воспитания детей становятся более мягкими, и происходит переход от физических мер воспитания,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психологическим, посредством навязывания, и убеждения словом. В этот период, проявляется любовь к детям со стороны родителей, и это становится нормативно установленным правилом в обществе;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Этап социализации (XIX – середина XX вв.), когда впервые появляется понятие «охрана детей», и государство признает право на защиту детей, их прав и законных интересов. Первой ступенью защиты прав детей и их законных интересов явилось создание в 1875 году в Нью-Йорке общества защиты детей от жестокого обращения.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такие общества начинают появляться и в странах Европы – Англии, Франции, Германии.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защита прав детей и их законных интересов впервые была признана с появлением в Санкт-Петербурге в 1895 году особого отдела защиты прав детей от жестокого обращения. На данный отдел в том же году была возложена государством миссия по созданию нормативно-правовой базы по урегулированию правового положения детей в Российской Империи.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Авторитетно, в этой связи, мнение известного ученого Шершеневича Г.Ф., который высказал свою точку зрения по поводу правового положения детей в дореволюционной России, когда правовое положение определяется не тем, что должен сделать сам ребенок, а тем, что должны сделать родители, государство и общество в отношении этого ребенка для его воспитания, так как главной целью государства в социальной политике являлась поддержка слабой стороны.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Этап «помощи» (с середины XX в.) – последний этап истории детства, основывающийся на той гипотезе, что ребенок знает лучше свои нужды и интересы, нежели родители. На этом этапе происходит нивелирование ребенка с обществом. Методом воспитания на данном этапе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активное слушание мнения ребенка, и эмоционального присоединения к этому мнению.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Борисова Н.Е. считает, что для определения правового положения детей в России принципиальное значение имеют три группы конституционных норм: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Нормы, которые прямо относятся к защите прав и законных интересов детей. К примеру, ст. 2 Конституции РФ, где высшей ценностью провозглашаются права и свободы человека, а также говорится, что государство эти права и свободы признает, и обязуется их защищать;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Нормы, устанавливающие обязанность родителей и государства воспитывать и содержать ребенка, а также устанавливающие, что детство находится под защитой государства – ч.1. ст. 38 Конституции РФ;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Нормы конституционного права, регламентирующие равное положение детей и взрослых в сфере прав и свобод человека и гражданина.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&lt;…&gt;</w:t>
      </w:r>
    </w:p>
    <w:p w:rsidR="00651189" w:rsidRDefault="003C552F">
      <w:pPr>
        <w:pStyle w:val="1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 Государственно-правовая политика Российской Федерации в сфере защиты прав детей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Зашита прав детей в современном мире приобретает глобальный характер и требует своего рассмотрения через определенную системно-стратегическую тактику правового развития государства и общества. Заметим, что процесс формирования государственно правовой политики защиты прав детей не может осуществляться изолированно от социальных процессов, происходящих в нашем обществе. На наш взгляд, эффективность реализации такой политики в большей степени зависит от уровня нравственного и правового развития общества Сама же государственно-правовая политика защиты прав детей должна максимально н комплексно способствовать решению проблем в данной области.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проблемы зашиты прав детей являются объектом многих научных исследований представителей политических педагогических и юридических наук. Так, была рассмотрена политика государства в сфере охраны, здоровья, образования и воспитания детей, были рассмотрены особенности российских семейных традиций и прав ребенка воспитываться в семье, а также основные направления государственной социальной политики охраны детства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 &lt;…&gt;</w:t>
      </w: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6511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89" w:rsidRDefault="003C552F">
      <w:pPr>
        <w:pStyle w:val="1"/>
        <w:spacing w:before="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yjcwt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Защита прав детей в Российской Федерации осуществляется на трех уровнях: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федеральном: Уполномоченный по правам человека в РФ; Совет при Президенте РФ по содействию развитию институтов гражданского общества и правам человека; Межведомственная комиссия по делам несовершеннолетних при Правительстве РФ; Министерство здравоохранения РФ; Министерство образования РФ; Министерство труда и социального развития; 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региональном: департаменты, комитеты, комиссии и отделы с аналогичными функциями;</w:t>
      </w:r>
    </w:p>
    <w:p w:rsidR="00651189" w:rsidRDefault="003C552F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местном, где действуют те же органы, что и на региональном.</w:t>
      </w:r>
    </w:p>
    <w:p w:rsidR="00651189" w:rsidRDefault="003C552F">
      <w:pPr>
        <w:pStyle w:val="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прав детей и их законных интересов, а также механизм этой защиты представляет собой самостоятельную юридическую категорию, и составляет одну из главных проблем в российском правоведении. </w:t>
      </w:r>
    </w:p>
    <w:p w:rsidR="00651189" w:rsidRDefault="003C552F">
      <w:pPr>
        <w:pStyle w:val="1"/>
        <w:spacing w:before="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3dy6vkm" w:colFirst="0" w:colLast="0"/>
      <w:bookmarkEnd w:id="7"/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Певцова, Е. А. Права детей и молодежи в российской и зарубежном законодательстве: сравнительно-правовой подход / Е. А. Певцова; Междунар. юрид. ин-т. - Москва: МЮИ, 2015. - 283 с. 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Плоткин. М.М. Социально-педагогическая зашита прав детей в истории России и современности: монография. / М.М. Плоткин, С.С. Хижняков - М : ФГНУ ИСП RAO. 2014. - 112 с.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Права ребенка и эффективное взаимодействие государственно-общественных институтов в их защите: материалы международного форума / [редкол.: Анцигина Л. К. и др.]. - Тара; Омск: Полиграфический центр КАН, 2014. - 252 с.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596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Фардзинова. А А. Институт защиты прав ребенка в условиях глобализации / А. Л. Фардзинова // Глобализация и публичное право: материалы Международной научно-практической конференции, Москва 26 ноября 2013 г. - М: РУДН, 2014 – С. 153-161.</w:t>
      </w:r>
    </w:p>
    <w:p w:rsidR="00651189" w:rsidRDefault="003C552F">
      <w:pPr>
        <w:pStyle w:val="normal"/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Щербакова. Е.Г. Особенности правовой политики РФ в сфере зашиты прав детей / Е.Г. Щербакова // Актуальные проблемы юриспруденции и психологии. материалы Международной конференции студентов, магистрантов, аспирантов и молодых ученых - Краснослободск : ИП ЕА Головченко, 2014 –С. 286-291.</w:t>
      </w:r>
    </w:p>
    <w:p w:rsidR="00651189" w:rsidRDefault="00651189">
      <w:pPr>
        <w:pStyle w:val="normal"/>
      </w:pPr>
    </w:p>
    <w:p w:rsidR="00651189" w:rsidRDefault="00651189">
      <w:pPr>
        <w:pStyle w:val="normal"/>
      </w:pPr>
    </w:p>
    <w:sectPr w:rsidR="00651189" w:rsidSect="00651189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7E" w:rsidRDefault="004D6D7E" w:rsidP="00651189">
      <w:pPr>
        <w:spacing w:after="0" w:line="240" w:lineRule="auto"/>
      </w:pPr>
      <w:r>
        <w:separator/>
      </w:r>
    </w:p>
  </w:endnote>
  <w:endnote w:type="continuationSeparator" w:id="0">
    <w:p w:rsidR="004D6D7E" w:rsidRDefault="004D6D7E" w:rsidP="0065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89" w:rsidRDefault="0065118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3C552F">
      <w:rPr>
        <w:color w:val="000000"/>
      </w:rPr>
      <w:instrText>PAGE</w:instrText>
    </w:r>
    <w:r w:rsidR="000F5006">
      <w:rPr>
        <w:color w:val="000000"/>
      </w:rPr>
      <w:fldChar w:fldCharType="separate"/>
    </w:r>
    <w:r w:rsidR="008C62DF">
      <w:rPr>
        <w:noProof/>
        <w:color w:val="000000"/>
      </w:rPr>
      <w:t>10</w:t>
    </w:r>
    <w:r>
      <w:rPr>
        <w:color w:val="000000"/>
      </w:rPr>
      <w:fldChar w:fldCharType="end"/>
    </w:r>
  </w:p>
  <w:p w:rsidR="00651189" w:rsidRDefault="0065118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7E" w:rsidRDefault="004D6D7E" w:rsidP="00651189">
      <w:pPr>
        <w:spacing w:after="0" w:line="240" w:lineRule="auto"/>
      </w:pPr>
      <w:r>
        <w:separator/>
      </w:r>
    </w:p>
  </w:footnote>
  <w:footnote w:type="continuationSeparator" w:id="0">
    <w:p w:rsidR="004D6D7E" w:rsidRDefault="004D6D7E" w:rsidP="00651189">
      <w:pPr>
        <w:spacing w:after="0" w:line="240" w:lineRule="auto"/>
      </w:pPr>
      <w:r>
        <w:continuationSeparator/>
      </w:r>
    </w:p>
  </w:footnote>
  <w:footnote w:id="1">
    <w:p w:rsidR="00651189" w:rsidRDefault="003C552F">
      <w:pPr>
        <w:pStyle w:val="normal"/>
        <w:tabs>
          <w:tab w:val="left" w:pos="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</w:p>
  </w:footnote>
  <w:footnote w:id="2">
    <w:p w:rsidR="00651189" w:rsidRDefault="003C552F">
      <w:pPr>
        <w:pStyle w:val="normal"/>
        <w:tabs>
          <w:tab w:val="left" w:pos="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</w:p>
  </w:footnote>
  <w:footnote w:id="3">
    <w:p w:rsidR="00651189" w:rsidRDefault="003C552F">
      <w:pPr>
        <w:pStyle w:val="normal"/>
        <w:tabs>
          <w:tab w:val="left" w:pos="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Плоткин. М.М. Социально-педагогическая зашита прав детей в истории России и современности: монография. / М.М. Плоткин, С.С. Хижняков - М : ФГНУ ИСП RAO. 2014. -  С. 89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EAD"/>
    <w:multiLevelType w:val="multilevel"/>
    <w:tmpl w:val="4E9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89"/>
    <w:rsid w:val="000B0E25"/>
    <w:rsid w:val="000F5006"/>
    <w:rsid w:val="001B0B58"/>
    <w:rsid w:val="003C552F"/>
    <w:rsid w:val="004D6D7E"/>
    <w:rsid w:val="00513565"/>
    <w:rsid w:val="00651189"/>
    <w:rsid w:val="00802983"/>
    <w:rsid w:val="008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normal"/>
    <w:next w:val="normal"/>
    <w:rsid w:val="00651189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normal"/>
    <w:next w:val="normal"/>
    <w:rsid w:val="006511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511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511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511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511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51189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651189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511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511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normal"/>
    <w:next w:val="normal"/>
    <w:rsid w:val="00651189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normal"/>
    <w:next w:val="normal"/>
    <w:rsid w:val="006511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511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511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511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511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51189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651189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511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511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Links>
    <vt:vector size="30" baseType="variant">
      <vt:variant>
        <vt:i4>5308518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_3dy6vkm</vt:lpwstr>
      </vt:variant>
      <vt:variant>
        <vt:i4>6881349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_tyjcwt</vt:lpwstr>
      </vt:variant>
      <vt:variant>
        <vt:i4>4456563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_2et92p0</vt:lpwstr>
      </vt:variant>
      <vt:variant>
        <vt:i4>131119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_1fob9te</vt:lpwstr>
      </vt:variant>
      <vt:variant>
        <vt:i4>5177395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_30j0zll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Dmitry V Stolpovskih</cp:lastModifiedBy>
  <cp:revision>2</cp:revision>
  <dcterms:created xsi:type="dcterms:W3CDTF">2021-05-19T03:42:00Z</dcterms:created>
  <dcterms:modified xsi:type="dcterms:W3CDTF">2021-05-19T03:42:00Z</dcterms:modified>
</cp:coreProperties>
</file>